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BA612" w14:textId="77777777" w:rsidR="00555FE7" w:rsidRPr="003E1D4F" w:rsidRDefault="00555FE7" w:rsidP="00555FE7">
      <w:pPr>
        <w:spacing w:line="560" w:lineRule="exact"/>
        <w:rPr>
          <w:rFonts w:ascii="黑体" w:eastAsia="黑体" w:hAnsi="黑体"/>
          <w:sz w:val="32"/>
          <w:szCs w:val="32"/>
        </w:rPr>
      </w:pPr>
      <w:r w:rsidRPr="003E1D4F">
        <w:rPr>
          <w:rFonts w:ascii="黑体" w:eastAsia="黑体" w:hAnsi="黑体" w:hint="eastAsia"/>
          <w:sz w:val="32"/>
          <w:szCs w:val="32"/>
        </w:rPr>
        <w:t>文稿解读</w:t>
      </w:r>
    </w:p>
    <w:p w14:paraId="018B4D02" w14:textId="77777777" w:rsidR="00555FE7" w:rsidRPr="003E1D4F" w:rsidRDefault="00555FE7" w:rsidP="00555FE7">
      <w:pPr>
        <w:spacing w:line="560" w:lineRule="exact"/>
        <w:rPr>
          <w:rFonts w:ascii="黑体" w:eastAsia="黑体" w:hAnsi="黑体"/>
          <w:sz w:val="32"/>
          <w:szCs w:val="32"/>
        </w:rPr>
      </w:pPr>
    </w:p>
    <w:p w14:paraId="5AEF9520" w14:textId="77777777" w:rsidR="00555FE7" w:rsidRPr="003E1D4F" w:rsidRDefault="0042346E" w:rsidP="00B11822">
      <w:pPr>
        <w:spacing w:line="560" w:lineRule="exact"/>
        <w:jc w:val="center"/>
        <w:rPr>
          <w:rFonts w:ascii="方正小标宋_GBK" w:eastAsia="方正小标宋_GBK"/>
          <w:sz w:val="44"/>
          <w:szCs w:val="44"/>
        </w:rPr>
      </w:pPr>
      <w:r w:rsidRPr="003E1D4F">
        <w:rPr>
          <w:rFonts w:ascii="方正小标宋_GBK" w:eastAsia="方正小标宋_GBK" w:hint="eastAsia"/>
          <w:sz w:val="44"/>
          <w:szCs w:val="44"/>
        </w:rPr>
        <w:t>《青岛市城市抗震防灾专项规划</w:t>
      </w:r>
    </w:p>
    <w:p w14:paraId="39E08DF3" w14:textId="3438E63C" w:rsidR="003E5233" w:rsidRPr="003E1D4F" w:rsidRDefault="00B4703A" w:rsidP="00B11822">
      <w:pPr>
        <w:spacing w:line="560" w:lineRule="exact"/>
        <w:jc w:val="center"/>
        <w:rPr>
          <w:rFonts w:ascii="方正小标宋_GBK" w:eastAsia="方正小标宋_GBK"/>
          <w:bCs/>
          <w:sz w:val="44"/>
          <w:szCs w:val="44"/>
        </w:rPr>
      </w:pPr>
      <w:r w:rsidRPr="003E1D4F">
        <w:rPr>
          <w:rFonts w:ascii="方正小标宋_GBK" w:eastAsia="方正小标宋_GBK" w:hint="eastAsia"/>
          <w:sz w:val="44"/>
          <w:szCs w:val="44"/>
        </w:rPr>
        <w:t>（2024-2035年）</w:t>
      </w:r>
      <w:r w:rsidR="0042346E" w:rsidRPr="003E1D4F">
        <w:rPr>
          <w:rFonts w:ascii="方正小标宋_GBK" w:eastAsia="方正小标宋_GBK" w:hint="eastAsia"/>
          <w:sz w:val="44"/>
          <w:szCs w:val="44"/>
        </w:rPr>
        <w:t>》</w:t>
      </w:r>
    </w:p>
    <w:p w14:paraId="76B27C10" w14:textId="77777777" w:rsidR="00FA1A46" w:rsidRPr="003E1D4F" w:rsidRDefault="00FA1A46" w:rsidP="00B11822">
      <w:pPr>
        <w:spacing w:line="560" w:lineRule="exact"/>
        <w:ind w:firstLineChars="200" w:firstLine="640"/>
        <w:rPr>
          <w:rFonts w:ascii="仿宋_GB2312" w:eastAsia="仿宋_GB2312" w:hAnsi="仿宋"/>
          <w:sz w:val="32"/>
          <w:szCs w:val="32"/>
        </w:rPr>
      </w:pPr>
    </w:p>
    <w:p w14:paraId="3D212173" w14:textId="45ED9123" w:rsidR="00037CF9" w:rsidRPr="003E1D4F" w:rsidRDefault="00D06358" w:rsidP="00D06358">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根据《山东省住房和城乡建设厅关于进一步加强房屋建筑和市政工程抗震设防管理的通知》（鲁建设字〔</w:t>
      </w:r>
      <w:r w:rsidRPr="003E1D4F">
        <w:rPr>
          <w:rFonts w:ascii="仿宋_GB2312" w:eastAsia="仿宋_GB2312" w:hAnsi="仿宋"/>
          <w:sz w:val="32"/>
          <w:szCs w:val="32"/>
        </w:rPr>
        <w:t>2023〕2号）</w:t>
      </w:r>
      <w:r w:rsidRPr="003E1D4F">
        <w:rPr>
          <w:rFonts w:ascii="仿宋_GB2312" w:eastAsia="仿宋_GB2312" w:hAnsi="仿宋" w:hint="eastAsia"/>
          <w:sz w:val="32"/>
          <w:szCs w:val="32"/>
        </w:rPr>
        <w:t>相关要求及省、市有关工作部署，青岛</w:t>
      </w:r>
      <w:r w:rsidRPr="003E1D4F">
        <w:rPr>
          <w:rFonts w:ascii="仿宋_GB2312" w:eastAsia="仿宋_GB2312" w:hAnsi="仿宋"/>
          <w:sz w:val="32"/>
          <w:szCs w:val="32"/>
        </w:rPr>
        <w:t>市住房</w:t>
      </w:r>
      <w:r w:rsidRPr="003E1D4F">
        <w:rPr>
          <w:rFonts w:ascii="仿宋_GB2312" w:eastAsia="仿宋_GB2312" w:hAnsi="仿宋" w:hint="eastAsia"/>
          <w:sz w:val="32"/>
          <w:szCs w:val="32"/>
        </w:rPr>
        <w:t>和</w:t>
      </w:r>
      <w:r w:rsidRPr="003E1D4F">
        <w:rPr>
          <w:rFonts w:ascii="仿宋_GB2312" w:eastAsia="仿宋_GB2312" w:hAnsi="仿宋"/>
          <w:sz w:val="32"/>
          <w:szCs w:val="32"/>
        </w:rPr>
        <w:t>城乡建设局组织编制了</w:t>
      </w:r>
      <w:bookmarkStart w:id="0" w:name="_Hlk236730083"/>
      <w:r w:rsidRPr="003E1D4F">
        <w:rPr>
          <w:rFonts w:ascii="仿宋_GB2312" w:eastAsia="仿宋_GB2312" w:hAnsi="仿宋"/>
          <w:sz w:val="32"/>
          <w:szCs w:val="32"/>
        </w:rPr>
        <w:t>《青岛市城市抗震防灾专项规划（2024-2035年）》（以下简称《专项规划》）</w:t>
      </w:r>
      <w:r w:rsidR="00214BCD" w:rsidRPr="003E1D4F">
        <w:rPr>
          <w:rFonts w:ascii="仿宋_GB2312" w:eastAsia="仿宋_GB2312" w:hAnsi="仿宋" w:hint="eastAsia"/>
          <w:sz w:val="32"/>
          <w:szCs w:val="32"/>
        </w:rPr>
        <w:t>。</w:t>
      </w:r>
      <w:r w:rsidRPr="003E1D4F">
        <w:rPr>
          <w:rFonts w:ascii="仿宋_GB2312" w:eastAsia="仿宋_GB2312" w:hAnsi="仿宋" w:hint="eastAsia"/>
          <w:sz w:val="32"/>
          <w:szCs w:val="32"/>
        </w:rPr>
        <w:t>《专项规划》</w:t>
      </w:r>
      <w:r w:rsidR="00037CF9" w:rsidRPr="003E1D4F">
        <w:rPr>
          <w:rFonts w:ascii="仿宋_GB2312" w:eastAsia="仿宋_GB2312" w:hAnsi="仿宋" w:hint="eastAsia"/>
          <w:sz w:val="32"/>
          <w:szCs w:val="32"/>
        </w:rPr>
        <w:t>主要内容</w:t>
      </w:r>
      <w:r w:rsidR="00555FE7" w:rsidRPr="003E1D4F">
        <w:rPr>
          <w:rFonts w:ascii="仿宋_GB2312" w:eastAsia="仿宋_GB2312" w:hAnsi="仿宋" w:hint="eastAsia"/>
          <w:sz w:val="32"/>
          <w:szCs w:val="32"/>
        </w:rPr>
        <w:t>解读</w:t>
      </w:r>
      <w:r w:rsidR="00037CF9" w:rsidRPr="003E1D4F">
        <w:rPr>
          <w:rFonts w:ascii="仿宋_GB2312" w:eastAsia="仿宋_GB2312" w:hAnsi="仿宋" w:hint="eastAsia"/>
          <w:sz w:val="32"/>
          <w:szCs w:val="32"/>
        </w:rPr>
        <w:t>如下：</w:t>
      </w:r>
      <w:bookmarkEnd w:id="0"/>
    </w:p>
    <w:p w14:paraId="1009D026" w14:textId="6AEF0C5B" w:rsidR="00037CF9" w:rsidRPr="003E1D4F" w:rsidRDefault="00037CF9"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一、规划目的</w:t>
      </w:r>
    </w:p>
    <w:p w14:paraId="3205BCF5" w14:textId="1691AE1F" w:rsidR="00037CF9" w:rsidRPr="003E1D4F" w:rsidRDefault="00037CF9"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统筹指导青岛市城市抗震防灾工作，最大限度地减轻未来地震灾害影响，通过实施预防和应急保障对策，保护人民生命和财产安全，维持城市功能，提高青岛市的抗震防灾能力，构建和谐、安全的抗震韧性城市。</w:t>
      </w:r>
    </w:p>
    <w:p w14:paraId="497A8D70" w14:textId="5AC00308" w:rsidR="00037CF9" w:rsidRPr="003E1D4F" w:rsidRDefault="00037CF9"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二、规划性质</w:t>
      </w:r>
    </w:p>
    <w:p w14:paraId="3C72F6FD" w14:textId="13136A75" w:rsidR="00037CF9" w:rsidRPr="003E1D4F" w:rsidRDefault="00037CF9"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本规划是抗震防灾要求的专项规划，是青岛市抗震防灾建设的指导性文件。在进行与城市抗震防灾有关的土地利用、建筑及基础设施建设与改造、地震次生灾害防御、避震疏散、灾后恢复重建等工作时，均应符合本规划的总体安排和要求。</w:t>
      </w:r>
    </w:p>
    <w:p w14:paraId="384E7B62" w14:textId="47862B38" w:rsidR="000E1C03" w:rsidRPr="003E1D4F" w:rsidRDefault="00037CF9"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三</w:t>
      </w:r>
      <w:r w:rsidR="000E1C03" w:rsidRPr="003E1D4F">
        <w:rPr>
          <w:rFonts w:ascii="黑体" w:eastAsia="黑体" w:hAnsi="黑体" w:hint="eastAsia"/>
          <w:sz w:val="32"/>
          <w:szCs w:val="32"/>
        </w:rPr>
        <w:t>、规划范围与期限</w:t>
      </w:r>
    </w:p>
    <w:p w14:paraId="35E024F6" w14:textId="1F2EE4A9" w:rsidR="000E1C03" w:rsidRPr="003E1D4F" w:rsidRDefault="000E1C0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1.</w:t>
      </w:r>
      <w:r w:rsidRPr="003E1D4F">
        <w:rPr>
          <w:rFonts w:ascii="仿宋_GB2312" w:eastAsia="仿宋_GB2312" w:hAnsi="仿宋" w:hint="eastAsia"/>
          <w:sz w:val="32"/>
          <w:szCs w:val="32"/>
        </w:rPr>
        <w:t>规划范围：</w:t>
      </w:r>
      <w:r w:rsidR="00717363" w:rsidRPr="003E1D4F">
        <w:rPr>
          <w:rFonts w:ascii="仿宋_GB2312" w:eastAsia="仿宋_GB2312" w:hAnsi="仿宋" w:hint="eastAsia"/>
          <w:sz w:val="32"/>
          <w:szCs w:val="32"/>
        </w:rPr>
        <w:t>与《青岛市国土空间总体规划（</w:t>
      </w:r>
      <w:r w:rsidR="00717363" w:rsidRPr="003E1D4F">
        <w:rPr>
          <w:rFonts w:ascii="仿宋_GB2312" w:eastAsia="仿宋_GB2312" w:hAnsi="仿宋"/>
          <w:sz w:val="32"/>
          <w:szCs w:val="32"/>
        </w:rPr>
        <w:t>2021-2035年）》</w:t>
      </w:r>
      <w:r w:rsidR="00717363" w:rsidRPr="003E1D4F">
        <w:rPr>
          <w:rFonts w:ascii="仿宋_GB2312" w:eastAsia="仿宋_GB2312" w:hAnsi="仿宋"/>
          <w:sz w:val="32"/>
          <w:szCs w:val="32"/>
        </w:rPr>
        <w:lastRenderedPageBreak/>
        <w:t>的中心城区范围一致</w:t>
      </w:r>
      <w:r w:rsidR="00BD0A23" w:rsidRPr="003E1D4F">
        <w:rPr>
          <w:rFonts w:ascii="仿宋_GB2312" w:eastAsia="仿宋_GB2312" w:hAnsi="仿宋" w:hint="eastAsia"/>
          <w:sz w:val="32"/>
          <w:szCs w:val="32"/>
        </w:rPr>
        <w:t>，面积</w:t>
      </w:r>
      <w:r w:rsidR="00211E23" w:rsidRPr="003E1D4F">
        <w:rPr>
          <w:rFonts w:ascii="仿宋_GB2312" w:eastAsia="仿宋_GB2312" w:hAnsi="仿宋"/>
          <w:sz w:val="32"/>
          <w:szCs w:val="32"/>
        </w:rPr>
        <w:t>约898平方千米</w:t>
      </w:r>
      <w:r w:rsidRPr="003E1D4F">
        <w:rPr>
          <w:rFonts w:ascii="仿宋_GB2312" w:eastAsia="仿宋_GB2312" w:hAnsi="仿宋" w:hint="eastAsia"/>
          <w:sz w:val="32"/>
          <w:szCs w:val="32"/>
        </w:rPr>
        <w:t>。</w:t>
      </w:r>
    </w:p>
    <w:p w14:paraId="72F6BA58" w14:textId="0FABB37E" w:rsidR="000E1C03" w:rsidRPr="003E1D4F" w:rsidRDefault="000E1C0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2.</w:t>
      </w:r>
      <w:r w:rsidRPr="003E1D4F">
        <w:rPr>
          <w:rFonts w:ascii="仿宋_GB2312" w:eastAsia="仿宋_GB2312" w:hAnsi="仿宋" w:hint="eastAsia"/>
          <w:sz w:val="32"/>
          <w:szCs w:val="32"/>
        </w:rPr>
        <w:t>规划人口规模</w:t>
      </w:r>
      <w:r w:rsidR="00603CD0" w:rsidRPr="003E1D4F">
        <w:rPr>
          <w:rFonts w:ascii="仿宋_GB2312" w:eastAsia="仿宋_GB2312" w:hAnsi="仿宋" w:hint="eastAsia"/>
          <w:sz w:val="32"/>
          <w:szCs w:val="32"/>
        </w:rPr>
        <w:t>:</w:t>
      </w:r>
      <w:r w:rsidRPr="003E1D4F">
        <w:rPr>
          <w:rFonts w:ascii="仿宋_GB2312" w:eastAsia="仿宋_GB2312" w:hAnsi="仿宋" w:hint="eastAsia"/>
          <w:sz w:val="32"/>
          <w:szCs w:val="32"/>
        </w:rPr>
        <w:t>660万人。</w:t>
      </w:r>
    </w:p>
    <w:p w14:paraId="7E57BF05" w14:textId="6554C648" w:rsidR="000E1C03" w:rsidRPr="003E1D4F" w:rsidRDefault="000E1C0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3.</w:t>
      </w:r>
      <w:r w:rsidRPr="003E1D4F">
        <w:rPr>
          <w:rFonts w:ascii="仿宋_GB2312" w:eastAsia="仿宋_GB2312" w:hAnsi="仿宋" w:hint="eastAsia"/>
          <w:sz w:val="32"/>
          <w:szCs w:val="32"/>
        </w:rPr>
        <w:t>规划期限：2024-2035年。其中近期目标年为2030年。</w:t>
      </w:r>
    </w:p>
    <w:p w14:paraId="004799A4" w14:textId="4C32614A" w:rsidR="00211E23" w:rsidRPr="003E1D4F" w:rsidRDefault="00211E23"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四、规划编制模式</w:t>
      </w:r>
    </w:p>
    <w:p w14:paraId="741DCFB0" w14:textId="0EA29369" w:rsidR="00211E23" w:rsidRPr="003E1D4F" w:rsidRDefault="00211E2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甲类</w:t>
      </w:r>
      <w:r w:rsidR="003E1D4F">
        <w:rPr>
          <w:rFonts w:ascii="仿宋_GB2312" w:eastAsia="仿宋_GB2312" w:hAnsi="仿宋" w:hint="eastAsia"/>
          <w:sz w:val="32"/>
          <w:szCs w:val="32"/>
        </w:rPr>
        <w:t>编制</w:t>
      </w:r>
      <w:r w:rsidRPr="003E1D4F">
        <w:rPr>
          <w:rFonts w:ascii="仿宋_GB2312" w:eastAsia="仿宋_GB2312" w:hAnsi="仿宋" w:hint="eastAsia"/>
          <w:sz w:val="32"/>
          <w:szCs w:val="32"/>
        </w:rPr>
        <w:t>模式。</w:t>
      </w:r>
    </w:p>
    <w:p w14:paraId="215FFDAC" w14:textId="77777777" w:rsidR="00555FE7" w:rsidRPr="003E1D4F" w:rsidRDefault="00211E23" w:rsidP="00B11822">
      <w:pPr>
        <w:spacing w:line="560" w:lineRule="exact"/>
        <w:ind w:firstLineChars="200" w:firstLine="640"/>
        <w:rPr>
          <w:rFonts w:ascii="仿宋_GB2312" w:eastAsia="仿宋_GB2312" w:hAnsi="仿宋"/>
          <w:sz w:val="32"/>
          <w:szCs w:val="32"/>
        </w:rPr>
      </w:pPr>
      <w:r w:rsidRPr="003E1D4F">
        <w:rPr>
          <w:rFonts w:ascii="黑体" w:eastAsia="黑体" w:hAnsi="黑体" w:hint="eastAsia"/>
          <w:sz w:val="32"/>
          <w:szCs w:val="32"/>
        </w:rPr>
        <w:t>五、总体防御目标</w:t>
      </w:r>
    </w:p>
    <w:p w14:paraId="1BF61954" w14:textId="6A5068A1" w:rsidR="00FE3464" w:rsidRPr="003E1D4F" w:rsidRDefault="00555FE7"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总体防御目标为</w:t>
      </w:r>
      <w:r w:rsidRPr="003E1D4F">
        <w:rPr>
          <w:rFonts w:ascii="仿宋_GB2312" w:eastAsia="仿宋_GB2312" w:hAnsi="仿宋"/>
          <w:sz w:val="32"/>
          <w:szCs w:val="32"/>
        </w:rPr>
        <w:t>：</w:t>
      </w:r>
      <w:r w:rsidR="00FE3464" w:rsidRPr="003E1D4F">
        <w:rPr>
          <w:rFonts w:ascii="仿宋_GB2312" w:eastAsia="仿宋_GB2312" w:hAnsi="仿宋" w:hint="eastAsia"/>
          <w:sz w:val="32"/>
          <w:szCs w:val="32"/>
        </w:rPr>
        <w:t>“中震正常、大震可控、巨震可救”</w:t>
      </w:r>
      <w:r w:rsidR="009C15C2">
        <w:rPr>
          <w:rFonts w:ascii="仿宋_GB2312" w:eastAsia="仿宋_GB2312" w:hAnsi="仿宋" w:hint="eastAsia"/>
          <w:sz w:val="32"/>
          <w:szCs w:val="32"/>
        </w:rPr>
        <w:t>。</w:t>
      </w:r>
    </w:p>
    <w:p w14:paraId="1BB1F309" w14:textId="6B6B0C32" w:rsidR="00211E23" w:rsidRPr="003E1D4F" w:rsidRDefault="00211E23" w:rsidP="00211E23">
      <w:pPr>
        <w:spacing w:line="560" w:lineRule="exact"/>
        <w:ind w:firstLineChars="200" w:firstLine="640"/>
        <w:rPr>
          <w:rFonts w:ascii="仿宋_GB2312" w:eastAsia="仿宋_GB2312" w:hAnsi="仿宋"/>
          <w:sz w:val="32"/>
          <w:szCs w:val="32"/>
        </w:rPr>
      </w:pPr>
      <w:bookmarkStart w:id="1" w:name="_Hlk234222724"/>
      <w:r w:rsidRPr="003E1D4F">
        <w:rPr>
          <w:rFonts w:ascii="仿宋_GB2312" w:eastAsia="仿宋_GB2312" w:hAnsi="仿宋" w:hint="eastAsia"/>
          <w:sz w:val="32"/>
          <w:szCs w:val="32"/>
        </w:rPr>
        <w:t>1</w:t>
      </w:r>
      <w:r w:rsidRPr="003E1D4F">
        <w:rPr>
          <w:rFonts w:ascii="仿宋_GB2312" w:eastAsia="仿宋_GB2312" w:hAnsi="仿宋"/>
          <w:sz w:val="32"/>
          <w:szCs w:val="32"/>
        </w:rPr>
        <w:t>.当遭受多遇地震影响时，</w:t>
      </w:r>
      <w:bookmarkEnd w:id="1"/>
      <w:r w:rsidR="00FE3464" w:rsidRPr="003E1D4F">
        <w:rPr>
          <w:rFonts w:ascii="仿宋_GB2312" w:eastAsia="仿宋_GB2312" w:hAnsi="仿宋" w:hint="eastAsia"/>
          <w:sz w:val="32"/>
          <w:szCs w:val="32"/>
        </w:rPr>
        <w:t>城市功能正常，建设工程一般不发生破坏，市民的生产和生活基本不受影响</w:t>
      </w:r>
      <w:r w:rsidRPr="003E1D4F">
        <w:rPr>
          <w:rFonts w:ascii="仿宋_GB2312" w:eastAsia="仿宋_GB2312" w:hAnsi="仿宋"/>
          <w:sz w:val="32"/>
          <w:szCs w:val="32"/>
        </w:rPr>
        <w:t>。</w:t>
      </w:r>
    </w:p>
    <w:p w14:paraId="14C55672" w14:textId="75E86736" w:rsidR="00211E23" w:rsidRPr="003E1D4F" w:rsidRDefault="00211E23"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2</w:t>
      </w:r>
      <w:r w:rsidRPr="003E1D4F">
        <w:rPr>
          <w:rFonts w:ascii="仿宋_GB2312" w:eastAsia="仿宋_GB2312" w:hAnsi="仿宋"/>
          <w:sz w:val="32"/>
          <w:szCs w:val="32"/>
        </w:rPr>
        <w:t>.</w:t>
      </w:r>
      <w:bookmarkStart w:id="2" w:name="_Hlk234222927"/>
      <w:r w:rsidRPr="003E1D4F">
        <w:rPr>
          <w:rFonts w:ascii="仿宋_GB2312" w:eastAsia="仿宋_GB2312" w:hAnsi="仿宋"/>
          <w:sz w:val="32"/>
          <w:szCs w:val="32"/>
        </w:rPr>
        <w:t>当遭受设防烈度地震影响时，</w:t>
      </w:r>
      <w:bookmarkEnd w:id="2"/>
      <w:r w:rsidR="00FE3464" w:rsidRPr="003E1D4F">
        <w:rPr>
          <w:rFonts w:ascii="仿宋_GB2312" w:eastAsia="仿宋_GB2312" w:hAnsi="仿宋" w:hint="eastAsia"/>
          <w:sz w:val="32"/>
          <w:szCs w:val="32"/>
        </w:rPr>
        <w:t>城市应急保障基础设施和应急服务设施基本正常，一般建设工程可能发生损坏但基本不影响城市整体功能，重要工矿企业能很快恢复生产或运营</w:t>
      </w:r>
      <w:r w:rsidRPr="003E1D4F">
        <w:rPr>
          <w:rFonts w:ascii="仿宋_GB2312" w:eastAsia="仿宋_GB2312" w:hAnsi="仿宋"/>
          <w:sz w:val="32"/>
          <w:szCs w:val="32"/>
        </w:rPr>
        <w:t>。</w:t>
      </w:r>
    </w:p>
    <w:p w14:paraId="71921366" w14:textId="6A18D73D" w:rsidR="00211E23" w:rsidRPr="003E1D4F" w:rsidRDefault="00211E23"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3</w:t>
      </w:r>
      <w:r w:rsidRPr="003E1D4F">
        <w:rPr>
          <w:rFonts w:ascii="仿宋_GB2312" w:eastAsia="仿宋_GB2312" w:hAnsi="仿宋"/>
          <w:sz w:val="32"/>
          <w:szCs w:val="32"/>
        </w:rPr>
        <w:t>.当遭受罕遇地震影响时，</w:t>
      </w:r>
      <w:r w:rsidR="00FE3464" w:rsidRPr="003E1D4F">
        <w:rPr>
          <w:rFonts w:ascii="仿宋_GB2312" w:eastAsia="仿宋_GB2312" w:hAnsi="仿宋" w:hint="eastAsia"/>
          <w:sz w:val="32"/>
          <w:szCs w:val="32"/>
        </w:rPr>
        <w:t>城市功能基本不瘫痪，应急保障基础设施和应急服务设施不应发生危及救援和避难功能的中等破坏，其应急功能基本正常或可快速恢复；无重大人员伤亡，受灾人员可有效疏散、避难并满足其应急和基本生活需求，不发生严重的次生灾害</w:t>
      </w:r>
      <w:r w:rsidRPr="003E1D4F">
        <w:rPr>
          <w:rFonts w:ascii="仿宋_GB2312" w:eastAsia="仿宋_GB2312" w:hAnsi="仿宋"/>
          <w:sz w:val="32"/>
          <w:szCs w:val="32"/>
        </w:rPr>
        <w:t>。</w:t>
      </w:r>
    </w:p>
    <w:p w14:paraId="22470A93" w14:textId="5B9419BF" w:rsidR="00211E23" w:rsidRPr="003E1D4F" w:rsidRDefault="00211E23"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4</w:t>
      </w:r>
      <w:r w:rsidRPr="003E1D4F">
        <w:rPr>
          <w:rFonts w:ascii="仿宋_GB2312" w:eastAsia="仿宋_GB2312" w:hAnsi="仿宋"/>
          <w:sz w:val="32"/>
          <w:szCs w:val="32"/>
        </w:rPr>
        <w:t>.</w:t>
      </w:r>
      <w:bookmarkStart w:id="3" w:name="_Hlk234222964"/>
      <w:r w:rsidRPr="003E1D4F">
        <w:rPr>
          <w:rFonts w:ascii="仿宋_GB2312" w:eastAsia="仿宋_GB2312" w:hAnsi="仿宋"/>
          <w:sz w:val="32"/>
          <w:szCs w:val="32"/>
        </w:rPr>
        <w:t>当遭受超罕遇地震影响时，</w:t>
      </w:r>
      <w:bookmarkEnd w:id="3"/>
      <w:r w:rsidR="00FE3464" w:rsidRPr="003E1D4F">
        <w:rPr>
          <w:rFonts w:ascii="仿宋_GB2312" w:eastAsia="仿宋_GB2312" w:hAnsi="仿宋" w:hint="eastAsia"/>
          <w:sz w:val="32"/>
          <w:szCs w:val="32"/>
        </w:rPr>
        <w:t>预先设置的承担避难功能和应急救灾的建筑、应急保障基础设施及辅助设施不应发生危及救灾和避难人员生命安全的严重破坏，救灾和避难功能应能顺利恢复，区域重大协调救援、救灾物资运输活动和对外远程疏散可实施</w:t>
      </w:r>
      <w:r w:rsidRPr="003E1D4F">
        <w:rPr>
          <w:rFonts w:ascii="仿宋_GB2312" w:eastAsia="仿宋_GB2312" w:hAnsi="仿宋"/>
          <w:sz w:val="32"/>
          <w:szCs w:val="32"/>
        </w:rPr>
        <w:t>。</w:t>
      </w:r>
    </w:p>
    <w:p w14:paraId="36CA6827" w14:textId="64160E43" w:rsidR="007A07FF" w:rsidRPr="003E1D4F" w:rsidRDefault="007A07FF" w:rsidP="00211E23">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六、设防要求</w:t>
      </w:r>
    </w:p>
    <w:p w14:paraId="3F82183B" w14:textId="1FF4F30F" w:rsidR="007A07FF" w:rsidRPr="003E1D4F" w:rsidRDefault="007A07FF"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按照“全面设防，重点防御，保障安全，支撑应急”的原则统筹考虑规划范围内建设工程的抗震设防要求。建设工程抗震设防烈度必须按国家规定的权限审批、颁发的文件（图件）和山东省有关抗震设防的规定及相关标准要求确定。</w:t>
      </w:r>
    </w:p>
    <w:p w14:paraId="131D59C6" w14:textId="0245A767" w:rsidR="007A07FF" w:rsidRPr="003E1D4F" w:rsidRDefault="007A07FF"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1</w:t>
      </w:r>
      <w:r w:rsidRPr="003E1D4F">
        <w:rPr>
          <w:rFonts w:ascii="仿宋_GB2312" w:eastAsia="仿宋_GB2312" w:hAnsi="仿宋"/>
          <w:sz w:val="32"/>
          <w:szCs w:val="32"/>
        </w:rPr>
        <w:t>.</w:t>
      </w:r>
      <w:r w:rsidRPr="003E1D4F">
        <w:rPr>
          <w:rFonts w:ascii="仿宋_GB2312" w:eastAsia="仿宋_GB2312" w:hAnsi="仿宋" w:hint="eastAsia"/>
          <w:sz w:val="32"/>
          <w:szCs w:val="32"/>
        </w:rPr>
        <w:t>根据《中国地震动参数区划图》（</w:t>
      </w:r>
      <w:r w:rsidRPr="003E1D4F">
        <w:rPr>
          <w:rFonts w:ascii="仿宋_GB2312" w:eastAsia="仿宋_GB2312" w:hAnsi="仿宋"/>
          <w:sz w:val="32"/>
          <w:szCs w:val="32"/>
        </w:rPr>
        <w:t>GB18306-2015），规划范围位于设计基本地震动峰值加速度值0.10g分区，抗震设防烈度为7度</w:t>
      </w:r>
      <w:r w:rsidRPr="003E1D4F">
        <w:rPr>
          <w:rFonts w:ascii="仿宋_GB2312" w:eastAsia="仿宋_GB2312" w:hAnsi="仿宋" w:hint="eastAsia"/>
          <w:sz w:val="32"/>
          <w:szCs w:val="32"/>
        </w:rPr>
        <w:t>。</w:t>
      </w:r>
    </w:p>
    <w:p w14:paraId="43F65F0A" w14:textId="33B70D44" w:rsidR="00626FA0" w:rsidRPr="003E1D4F" w:rsidRDefault="00626FA0" w:rsidP="00626FA0">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2.</w:t>
      </w:r>
      <w:r w:rsidRPr="003E1D4F">
        <w:rPr>
          <w:rFonts w:ascii="仿宋_GB2312" w:eastAsia="仿宋_GB2312" w:hAnsi="仿宋" w:hint="eastAsia"/>
          <w:sz w:val="32"/>
          <w:szCs w:val="32"/>
        </w:rPr>
        <w:t>新建、扩建、改建的建设工程，应按照国家现行法律、法规和技术标准等要求进行抗震设防，设计方案符合抗震概念设计要求，优先选用有利于抗震的结构体系和建筑材料。</w:t>
      </w:r>
    </w:p>
    <w:p w14:paraId="1C372B47" w14:textId="4EC78EC1" w:rsidR="007A07FF"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3</w:t>
      </w:r>
      <w:r w:rsidR="007A07FF" w:rsidRPr="003E1D4F">
        <w:rPr>
          <w:rFonts w:ascii="仿宋_GB2312" w:eastAsia="仿宋_GB2312" w:hAnsi="仿宋"/>
          <w:sz w:val="32"/>
          <w:szCs w:val="32"/>
        </w:rPr>
        <w:t>.</w:t>
      </w:r>
      <w:r w:rsidR="00BD65E3" w:rsidRPr="003E1D4F">
        <w:rPr>
          <w:rFonts w:ascii="仿宋_GB2312" w:eastAsia="仿宋_GB2312" w:hAnsi="仿宋" w:hint="eastAsia"/>
          <w:sz w:val="32"/>
          <w:szCs w:val="32"/>
        </w:rPr>
        <w:t>重大建设工程和受地震破坏后可能引发严重次生灾害的建设工程，应当按照国家、山东省有关规定进行地震安全性评价，并按照经审定的地震安全性评价报告所确定的抗震设防要求进行抗震设防</w:t>
      </w:r>
      <w:r w:rsidR="007A07FF" w:rsidRPr="003E1D4F">
        <w:rPr>
          <w:rFonts w:ascii="仿宋_GB2312" w:eastAsia="仿宋_GB2312" w:hAnsi="仿宋" w:hint="eastAsia"/>
          <w:sz w:val="32"/>
          <w:szCs w:val="32"/>
        </w:rPr>
        <w:t>。</w:t>
      </w:r>
    </w:p>
    <w:p w14:paraId="6A4B951A" w14:textId="40D275FF" w:rsidR="007A07FF"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4</w:t>
      </w:r>
      <w:r w:rsidR="00BD65E3" w:rsidRPr="003E1D4F">
        <w:rPr>
          <w:rFonts w:ascii="仿宋_GB2312" w:eastAsia="仿宋_GB2312" w:hAnsi="仿宋"/>
          <w:sz w:val="32"/>
          <w:szCs w:val="32"/>
        </w:rPr>
        <w:t>.</w:t>
      </w:r>
      <w:r w:rsidR="00BD65E3" w:rsidRPr="003E1D4F">
        <w:rPr>
          <w:rFonts w:ascii="仿宋_GB2312" w:eastAsia="仿宋_GB2312" w:hAnsi="仿宋" w:hint="eastAsia"/>
          <w:sz w:val="32"/>
          <w:szCs w:val="32"/>
        </w:rPr>
        <w:t>新建、改建或者扩建学校、幼儿园、医院、养老机构、儿童福利机构、应急指挥中心、避震疏散场所、广播电视等建筑，应当按照不低于重点设防类的要求采取抗震设防措施。</w:t>
      </w:r>
    </w:p>
    <w:p w14:paraId="7C424E85" w14:textId="1FDBFBD1" w:rsidR="00BD65E3"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5</w:t>
      </w:r>
      <w:r w:rsidR="00BD65E3" w:rsidRPr="003E1D4F">
        <w:rPr>
          <w:rFonts w:ascii="仿宋_GB2312" w:eastAsia="仿宋_GB2312" w:hAnsi="仿宋"/>
          <w:sz w:val="32"/>
          <w:szCs w:val="32"/>
        </w:rPr>
        <w:t>.</w:t>
      </w:r>
      <w:r w:rsidR="00DF3FDE" w:rsidRPr="003E1D4F">
        <w:rPr>
          <w:rFonts w:ascii="仿宋_GB2312" w:eastAsia="仿宋_GB2312" w:hAnsi="仿宋" w:hint="eastAsia"/>
          <w:sz w:val="32"/>
          <w:szCs w:val="32"/>
        </w:rPr>
        <w:t>新建大型公共建筑、学校类建筑，结合本规划避震疏散场所安排确定作为避难建筑时，应按照避难建筑的抗震设防要求进行建设</w:t>
      </w:r>
      <w:r w:rsidR="00BD65E3" w:rsidRPr="003E1D4F">
        <w:rPr>
          <w:rFonts w:ascii="仿宋_GB2312" w:eastAsia="仿宋_GB2312" w:hAnsi="仿宋" w:hint="eastAsia"/>
          <w:sz w:val="32"/>
          <w:szCs w:val="32"/>
        </w:rPr>
        <w:t>。</w:t>
      </w:r>
    </w:p>
    <w:p w14:paraId="0C9A7795" w14:textId="357FF257" w:rsidR="00BD65E3"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6</w:t>
      </w:r>
      <w:r w:rsidR="00BD65E3" w:rsidRPr="003E1D4F">
        <w:rPr>
          <w:rFonts w:ascii="仿宋_GB2312" w:eastAsia="仿宋_GB2312" w:hAnsi="仿宋"/>
          <w:sz w:val="32"/>
          <w:szCs w:val="32"/>
        </w:rPr>
        <w:t>.</w:t>
      </w:r>
      <w:r w:rsidR="00DF3FDE" w:rsidRPr="003E1D4F">
        <w:rPr>
          <w:rFonts w:ascii="仿宋_GB2312" w:eastAsia="仿宋_GB2312" w:hAnsi="仿宋" w:hint="eastAsia"/>
          <w:sz w:val="32"/>
          <w:szCs w:val="32"/>
        </w:rPr>
        <w:t>规模分级为特大型的体育场，大型、观众席容量很多的中型体育场和体育馆（含游泳馆），大型的电影院、剧场、礼堂、图书馆的视听室和报告厅、文化馆的观演厅和展览厅、娱乐中心建筑，大型博物馆，存放国家一级文物的博物馆，特级、甲级档案馆，大型展览馆、会展中心，人流密集的大型的多层商场的抗震设防类别应按照《建筑工程抗震设防分类标准》（</w:t>
      </w:r>
      <w:r w:rsidR="00DF3FDE" w:rsidRPr="003E1D4F">
        <w:rPr>
          <w:rFonts w:ascii="仿宋_GB2312" w:eastAsia="仿宋_GB2312" w:hAnsi="仿宋"/>
          <w:sz w:val="32"/>
          <w:szCs w:val="32"/>
        </w:rPr>
        <w:t>GB 50223-2008）的要求进行抗震设防</w:t>
      </w:r>
      <w:r w:rsidR="00BD65E3" w:rsidRPr="003E1D4F">
        <w:rPr>
          <w:rFonts w:ascii="仿宋_GB2312" w:eastAsia="仿宋_GB2312" w:hAnsi="仿宋"/>
          <w:sz w:val="32"/>
          <w:szCs w:val="32"/>
        </w:rPr>
        <w:t>。</w:t>
      </w:r>
    </w:p>
    <w:p w14:paraId="75B7012F" w14:textId="4CF52703" w:rsidR="00DF3FDE"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7.</w:t>
      </w:r>
      <w:r w:rsidRPr="003E1D4F">
        <w:rPr>
          <w:rFonts w:ascii="仿宋_GB2312" w:eastAsia="仿宋_GB2312" w:hAnsi="仿宋" w:hint="eastAsia"/>
          <w:sz w:val="32"/>
          <w:szCs w:val="32"/>
        </w:rPr>
        <w:t>地震时可能发生严重次生灾害的工程项目不得建在人口稠密地区，已建的宜逐步迁出，未迁出前应采取必要的防灾加固与防护措施。</w:t>
      </w:r>
    </w:p>
    <w:p w14:paraId="314ECA79" w14:textId="216B3B17" w:rsidR="00DF3FDE" w:rsidRPr="003E1D4F" w:rsidRDefault="00626FA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8.</w:t>
      </w:r>
      <w:r w:rsidRPr="003E1D4F">
        <w:rPr>
          <w:rFonts w:ascii="仿宋_GB2312" w:eastAsia="仿宋_GB2312" w:hAnsi="仿宋" w:hint="eastAsia"/>
          <w:sz w:val="32"/>
          <w:szCs w:val="32"/>
        </w:rPr>
        <w:t>国家、山东省</w:t>
      </w:r>
      <w:r w:rsidR="00555FE7" w:rsidRPr="003E1D4F">
        <w:rPr>
          <w:rFonts w:ascii="仿宋_GB2312" w:eastAsia="仿宋_GB2312" w:hAnsi="仿宋" w:hint="eastAsia"/>
          <w:sz w:val="32"/>
          <w:szCs w:val="32"/>
        </w:rPr>
        <w:t>及</w:t>
      </w:r>
      <w:r w:rsidRPr="003E1D4F">
        <w:rPr>
          <w:rFonts w:ascii="仿宋_GB2312" w:eastAsia="仿宋_GB2312" w:hAnsi="仿宋" w:hint="eastAsia"/>
          <w:sz w:val="32"/>
          <w:szCs w:val="32"/>
        </w:rPr>
        <w:t>青岛市对建设工程抗震还有其他规定的，还应当符合其规定。</w:t>
      </w:r>
    </w:p>
    <w:p w14:paraId="065924A8" w14:textId="1CE28FEC" w:rsidR="00626FA0" w:rsidRPr="003E1D4F" w:rsidRDefault="00626FA0" w:rsidP="00211E23">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七、</w:t>
      </w:r>
      <w:r w:rsidR="00B55C53" w:rsidRPr="003E1D4F">
        <w:rPr>
          <w:rFonts w:ascii="黑体" w:eastAsia="黑体" w:hAnsi="黑体" w:hint="eastAsia"/>
          <w:sz w:val="32"/>
          <w:szCs w:val="32"/>
        </w:rPr>
        <w:t>规划主要内容</w:t>
      </w:r>
    </w:p>
    <w:p w14:paraId="770B9DFE" w14:textId="16DDB263" w:rsidR="00626FA0" w:rsidRPr="003E1D4F" w:rsidRDefault="00B55C53" w:rsidP="00211E23">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（一）城市抗震防灾空间布局</w:t>
      </w:r>
    </w:p>
    <w:p w14:paraId="622F1085" w14:textId="1EEA1D2E" w:rsidR="00B55C53" w:rsidRPr="003E1D4F" w:rsidRDefault="00B55C53"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规划范围共划分为</w:t>
      </w:r>
      <w:r w:rsidRPr="003E1D4F">
        <w:rPr>
          <w:rFonts w:ascii="仿宋_GB2312" w:eastAsia="仿宋_GB2312" w:hAnsi="仿宋"/>
          <w:sz w:val="32"/>
          <w:szCs w:val="32"/>
        </w:rPr>
        <w:t>7个一级防灾分区、68个二级防灾分区，形成</w:t>
      </w:r>
      <w:r w:rsidRPr="003E1D4F">
        <w:rPr>
          <w:rFonts w:ascii="仿宋_GB2312" w:eastAsia="仿宋_GB2312" w:hAnsi="仿宋"/>
          <w:sz w:val="32"/>
          <w:szCs w:val="32"/>
        </w:rPr>
        <w:t>“</w:t>
      </w:r>
      <w:r w:rsidRPr="003E1D4F">
        <w:rPr>
          <w:rFonts w:ascii="仿宋_GB2312" w:eastAsia="仿宋_GB2312" w:hAnsi="仿宋"/>
          <w:sz w:val="32"/>
          <w:szCs w:val="32"/>
        </w:rPr>
        <w:t>独立救灾、有机联系、六横九纵多连、环湾辐射连通</w:t>
      </w:r>
      <w:r w:rsidRPr="003E1D4F">
        <w:rPr>
          <w:rFonts w:ascii="仿宋_GB2312" w:eastAsia="仿宋_GB2312" w:hAnsi="仿宋"/>
          <w:sz w:val="32"/>
          <w:szCs w:val="32"/>
        </w:rPr>
        <w:t>”</w:t>
      </w:r>
      <w:r w:rsidRPr="003E1D4F">
        <w:rPr>
          <w:rFonts w:ascii="仿宋_GB2312" w:eastAsia="仿宋_GB2312" w:hAnsi="仿宋"/>
          <w:sz w:val="32"/>
          <w:szCs w:val="32"/>
        </w:rPr>
        <w:t>的抗震防灾空间格局</w:t>
      </w:r>
      <w:r w:rsidRPr="003E1D4F">
        <w:rPr>
          <w:rFonts w:ascii="仿宋_GB2312" w:eastAsia="仿宋_GB2312" w:hAnsi="仿宋" w:hint="eastAsia"/>
          <w:sz w:val="32"/>
          <w:szCs w:val="32"/>
        </w:rPr>
        <w:t>。</w:t>
      </w:r>
    </w:p>
    <w:p w14:paraId="166E3A11" w14:textId="20E80448" w:rsidR="00B55C53" w:rsidRPr="003E1D4F" w:rsidRDefault="00B55C53" w:rsidP="00211E23">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（二）城市用地抗震防灾适宜性分区</w:t>
      </w:r>
    </w:p>
    <w:p w14:paraId="76EE5F42" w14:textId="031C1FD2" w:rsidR="00B55C53" w:rsidRPr="003E1D4F" w:rsidRDefault="006279E1"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综合考虑建设用地抗震防灾类型、潜在场地地震破坏效应、工程地质、地质灾害等，将建设用地抗震适宜性分为适宜、较适宜、有条件适宜三大类。</w:t>
      </w:r>
    </w:p>
    <w:p w14:paraId="10AA73DE" w14:textId="3A177CE3" w:rsidR="00B55C53" w:rsidRPr="003E1D4F" w:rsidRDefault="00051050" w:rsidP="00211E23">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（三）城区建筑抗震防灾</w:t>
      </w:r>
    </w:p>
    <w:p w14:paraId="5F02EC6E" w14:textId="5486B398" w:rsidR="00051050" w:rsidRPr="003E1D4F" w:rsidRDefault="0005105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1</w:t>
      </w:r>
      <w:r w:rsidRPr="003E1D4F">
        <w:rPr>
          <w:rFonts w:ascii="仿宋_GB2312" w:eastAsia="仿宋_GB2312" w:hAnsi="仿宋"/>
          <w:sz w:val="32"/>
          <w:szCs w:val="32"/>
        </w:rPr>
        <w:t>.</w:t>
      </w:r>
      <w:r w:rsidRPr="003E1D4F">
        <w:rPr>
          <w:rFonts w:ascii="仿宋_GB2312" w:eastAsia="仿宋_GB2312" w:hAnsi="仿宋" w:hint="eastAsia"/>
          <w:sz w:val="32"/>
          <w:szCs w:val="32"/>
        </w:rPr>
        <w:t>重要建筑保障分级与要求</w:t>
      </w:r>
    </w:p>
    <w:p w14:paraId="1327100E" w14:textId="69454935" w:rsidR="00051050" w:rsidRPr="003E1D4F" w:rsidRDefault="0005105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I级保障建筑：对抗震救灾功能起关键作用的建筑（应急指挥建筑、I级保障基础设施系统建筑等），应按照不低于重点设防类要求进行抗震设防；同时，应采用基于性能的设计方法，实现大震下不产生中等及以上破坏的设防目标，保证震后建筑物功能基本不中断以及内部重要设备的抗震救灾功能正常运转。</w:t>
      </w:r>
    </w:p>
    <w:p w14:paraId="221662C1" w14:textId="4E6392C5" w:rsidR="00051050" w:rsidRPr="003E1D4F" w:rsidRDefault="0005105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II级保障建筑：对抗震救灾起辅助作用的建筑，应按照重点设防类要求进行抗震设防，并确保震时应急救灾功能灾后能够迅速恢复。</w:t>
      </w:r>
    </w:p>
    <w:p w14:paraId="5D027F35" w14:textId="4CA0485A" w:rsidR="00051050" w:rsidRPr="003E1D4F" w:rsidRDefault="0005105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对于重要建筑应在规划期内开展抗震鉴定或抗震韧性评估工作</w:t>
      </w:r>
      <w:r w:rsidR="00D733AB" w:rsidRPr="003E1D4F">
        <w:rPr>
          <w:rFonts w:ascii="仿宋_GB2312" w:eastAsia="仿宋_GB2312" w:hAnsi="仿宋" w:hint="eastAsia"/>
          <w:sz w:val="32"/>
          <w:szCs w:val="32"/>
        </w:rPr>
        <w:t>，</w:t>
      </w:r>
      <w:r w:rsidRPr="003E1D4F">
        <w:rPr>
          <w:rFonts w:ascii="仿宋_GB2312" w:eastAsia="仿宋_GB2312" w:hAnsi="仿宋"/>
          <w:sz w:val="32"/>
          <w:szCs w:val="32"/>
        </w:rPr>
        <w:t>不满足抗震要求的，应及时采取加固或韧性提升措施。</w:t>
      </w:r>
    </w:p>
    <w:p w14:paraId="375AE9D1" w14:textId="2420E366" w:rsidR="00051050" w:rsidRPr="003E1D4F" w:rsidRDefault="00A732FF"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2</w:t>
      </w:r>
      <w:r w:rsidR="00D733AB" w:rsidRPr="003E1D4F">
        <w:rPr>
          <w:rFonts w:ascii="仿宋_GB2312" w:eastAsia="仿宋_GB2312" w:hAnsi="仿宋"/>
          <w:sz w:val="32"/>
          <w:szCs w:val="32"/>
        </w:rPr>
        <w:t>.一般建筑抗震加固与改造</w:t>
      </w:r>
    </w:p>
    <w:p w14:paraId="74C417F3" w14:textId="3F00611B" w:rsidR="00051050" w:rsidRPr="003E1D4F" w:rsidRDefault="0020606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按照房屋破坏后果的严重性、区分轻重缓急和分期分批的原则，确定有加固价值和无需加固限期拆除改造的范围和措施，并考虑居民生活质量要求的基础上，提出综合抗震治理的策略和对策。</w:t>
      </w:r>
    </w:p>
    <w:p w14:paraId="6B500D91" w14:textId="1C47D9C8" w:rsidR="00051050" w:rsidRPr="003E1D4F" w:rsidRDefault="00206060" w:rsidP="00211E23">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房屋抗震薄弱区的综合整治可结合城市更新、节能改造、老旧住宅小区改造、</w:t>
      </w:r>
      <w:bookmarkStart w:id="4" w:name="_GoBack"/>
      <w:bookmarkEnd w:id="4"/>
      <w:r w:rsidRPr="003E1D4F">
        <w:rPr>
          <w:rFonts w:ascii="仿宋_GB2312" w:eastAsia="仿宋_GB2312" w:hAnsi="仿宋" w:hint="eastAsia"/>
          <w:sz w:val="32"/>
          <w:szCs w:val="32"/>
        </w:rPr>
        <w:t>历史文化街区保护等统筹制定计划并实施。</w:t>
      </w:r>
    </w:p>
    <w:p w14:paraId="790C5491" w14:textId="535454F3" w:rsidR="00D07F02" w:rsidRPr="003E1D4F" w:rsidRDefault="00D07F02" w:rsidP="00D07F02">
      <w:pPr>
        <w:spacing w:line="560" w:lineRule="exact"/>
        <w:ind w:firstLineChars="200" w:firstLine="640"/>
        <w:rPr>
          <w:rFonts w:ascii="楷体" w:eastAsia="楷体" w:hAnsi="楷体"/>
          <w:sz w:val="32"/>
          <w:szCs w:val="32"/>
        </w:rPr>
      </w:pPr>
      <w:bookmarkStart w:id="5" w:name="_Hlk234229210"/>
      <w:r w:rsidRPr="003E1D4F">
        <w:rPr>
          <w:rFonts w:ascii="楷体" w:eastAsia="楷体" w:hAnsi="楷体" w:hint="eastAsia"/>
          <w:sz w:val="32"/>
          <w:szCs w:val="32"/>
        </w:rPr>
        <w:t>（四）历史城区、历史文化街区抗震防灾</w:t>
      </w:r>
    </w:p>
    <w:bookmarkEnd w:id="5"/>
    <w:p w14:paraId="5B571FD9" w14:textId="38F5CB09" w:rsidR="003124CE" w:rsidRPr="003E1D4F" w:rsidRDefault="00D07F02" w:rsidP="003124CE">
      <w:pPr>
        <w:spacing w:line="560" w:lineRule="exact"/>
        <w:ind w:firstLineChars="200" w:firstLine="640"/>
      </w:pPr>
      <w:r w:rsidRPr="003E1D4F">
        <w:rPr>
          <w:rFonts w:ascii="仿宋_GB2312" w:eastAsia="仿宋_GB2312" w:hAnsi="仿宋" w:hint="eastAsia"/>
          <w:sz w:val="32"/>
          <w:szCs w:val="32"/>
        </w:rPr>
        <w:t>1</w:t>
      </w:r>
      <w:r w:rsidRPr="003E1D4F">
        <w:rPr>
          <w:rFonts w:ascii="仿宋_GB2312" w:eastAsia="仿宋_GB2312" w:hAnsi="仿宋"/>
          <w:sz w:val="32"/>
          <w:szCs w:val="32"/>
        </w:rPr>
        <w:t>.</w:t>
      </w:r>
      <w:r w:rsidR="003124CE" w:rsidRPr="003E1D4F">
        <w:rPr>
          <w:rFonts w:ascii="仿宋_GB2312" w:eastAsia="仿宋_GB2312" w:hAnsi="仿宋" w:hint="eastAsia"/>
          <w:sz w:val="32"/>
          <w:szCs w:val="32"/>
        </w:rPr>
        <w:t>历史城区、历史文化街区应健全抗震防灾体系，加强抗震防灾管理，完善其地震应急预案</w:t>
      </w:r>
      <w:r w:rsidR="00DE0E07" w:rsidRPr="003E1D4F">
        <w:rPr>
          <w:rFonts w:ascii="仿宋_GB2312" w:eastAsia="仿宋_GB2312" w:hAnsi="仿宋" w:hint="eastAsia"/>
          <w:sz w:val="32"/>
          <w:szCs w:val="32"/>
        </w:rPr>
        <w:t>。</w:t>
      </w:r>
    </w:p>
    <w:p w14:paraId="01B00B6C" w14:textId="77777777" w:rsidR="003124CE" w:rsidRPr="003E1D4F" w:rsidRDefault="003124CE" w:rsidP="003124CE">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2.</w:t>
      </w:r>
      <w:r w:rsidRPr="003E1D4F">
        <w:rPr>
          <w:rFonts w:ascii="仿宋_GB2312" w:eastAsia="仿宋_GB2312" w:hAnsi="仿宋" w:hint="eastAsia"/>
          <w:sz w:val="32"/>
          <w:szCs w:val="32"/>
        </w:rPr>
        <w:t>在历史名城、历史文化街区和历史地段保护规划中纳入抗震防灾内容，分类制定适宜的抗震防灾策略。</w:t>
      </w:r>
    </w:p>
    <w:p w14:paraId="1F4398F9" w14:textId="3BA61DC3" w:rsidR="003124CE" w:rsidRPr="003E1D4F" w:rsidRDefault="003124CE" w:rsidP="003124CE">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3</w:t>
      </w:r>
      <w:r w:rsidR="00D07F02" w:rsidRPr="003E1D4F">
        <w:rPr>
          <w:rFonts w:ascii="仿宋_GB2312" w:eastAsia="仿宋_GB2312" w:hAnsi="仿宋"/>
          <w:sz w:val="32"/>
          <w:szCs w:val="32"/>
        </w:rPr>
        <w:t>.</w:t>
      </w:r>
      <w:r w:rsidRPr="003E1D4F">
        <w:rPr>
          <w:rFonts w:ascii="仿宋_GB2312" w:eastAsia="仿宋_GB2312" w:hAnsi="仿宋" w:hint="eastAsia"/>
          <w:sz w:val="32"/>
          <w:szCs w:val="32"/>
        </w:rPr>
        <w:t>逐步完善历史城区、历史文化街区的防灾设施配置和管理，对位于历史城区范围内的建筑密集区应加强消防措施，优化周边环境，调整居住、商业、工业用地，降低历史城区密度，完善避震疏散场所、通道建设，改造老旧线路，提高其防御地震次生火灾的能力，保障震时受灾人群的安全疏散。</w:t>
      </w:r>
    </w:p>
    <w:p w14:paraId="4BF46AC8" w14:textId="55B19FB5" w:rsidR="00D07F02" w:rsidRPr="003E1D4F" w:rsidRDefault="003124CE" w:rsidP="003124CE">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4.加强文物古迹和历史建筑抗震设防，可优先采用新技术（如隔震、消能减震和新的补强技术）进行抗震加固保护，在最大限度保护建筑原貌的基础上，解决其抗震问题</w:t>
      </w:r>
      <w:r w:rsidR="00A732FF" w:rsidRPr="003E1D4F">
        <w:rPr>
          <w:rFonts w:ascii="仿宋_GB2312" w:eastAsia="仿宋_GB2312" w:hAnsi="仿宋" w:hint="eastAsia"/>
          <w:sz w:val="32"/>
          <w:szCs w:val="32"/>
        </w:rPr>
        <w:t>。</w:t>
      </w:r>
    </w:p>
    <w:p w14:paraId="3871B508" w14:textId="33ADB08A" w:rsidR="00A732FF" w:rsidRPr="003E1D4F" w:rsidRDefault="00A732FF" w:rsidP="00A732FF">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（五）基础设施抗震防灾与应急保障规划</w:t>
      </w:r>
    </w:p>
    <w:p w14:paraId="0EC047FB" w14:textId="78DB52FC" w:rsidR="000E1C03" w:rsidRPr="003E1D4F" w:rsidRDefault="00A732FF"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基于震后城市功能保障的需求，衔接各类专项规划，对应急供电、供（排）水、通讯、医疗、消防、物资等防灾基础设施，从空间布局与设防要求、工程鉴定与抗震改造、管理要求等方面进行规划。</w:t>
      </w:r>
    </w:p>
    <w:p w14:paraId="110B8FB3" w14:textId="647C60DB" w:rsidR="00A732FF" w:rsidRPr="003E1D4F" w:rsidRDefault="00A732FF" w:rsidP="00B11822">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（六）</w:t>
      </w:r>
      <w:r w:rsidR="008E2738" w:rsidRPr="003E1D4F">
        <w:rPr>
          <w:rFonts w:ascii="楷体" w:eastAsia="楷体" w:hAnsi="楷体" w:hint="eastAsia"/>
          <w:sz w:val="32"/>
          <w:szCs w:val="32"/>
        </w:rPr>
        <w:t>地震次生灾害防御与管控</w:t>
      </w:r>
    </w:p>
    <w:p w14:paraId="129C949E" w14:textId="66AC45A1" w:rsidR="008E2738" w:rsidRPr="003E1D4F" w:rsidRDefault="008E2738"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1.次生灾害源的监管要求</w:t>
      </w:r>
    </w:p>
    <w:p w14:paraId="79F830DD" w14:textId="4562B2E7" w:rsidR="008E2738" w:rsidRPr="003E1D4F" w:rsidRDefault="008E2738"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定期对易产生地震次生灾害的重要建（构）筑物、设备和设施进行抗震检查和鉴定，设置抗震保护装置，提高抗倒塌能力，</w:t>
      </w:r>
      <w:r w:rsidR="001E366D" w:rsidRPr="003E1D4F">
        <w:rPr>
          <w:rFonts w:ascii="仿宋_GB2312" w:eastAsia="仿宋_GB2312" w:hAnsi="仿宋" w:hint="eastAsia"/>
          <w:sz w:val="32"/>
          <w:szCs w:val="32"/>
        </w:rPr>
        <w:t>定期对规划范围大型水库、河道两岸的防洪工程进行检查，</w:t>
      </w:r>
      <w:r w:rsidRPr="003E1D4F">
        <w:rPr>
          <w:rFonts w:ascii="仿宋_GB2312" w:eastAsia="仿宋_GB2312" w:hAnsi="仿宋" w:hint="eastAsia"/>
          <w:sz w:val="32"/>
          <w:szCs w:val="32"/>
        </w:rPr>
        <w:t>减轻地震次生灾害。</w:t>
      </w:r>
    </w:p>
    <w:p w14:paraId="00972E84" w14:textId="24C5D146" w:rsidR="008E2738" w:rsidRPr="003E1D4F" w:rsidRDefault="008E2738"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对城区内易引发地震次生火灾的单位进行目标分类，根据消防要求实施分类监督和管理。建立和完善对液化气储配站和加油站的防火制度和相关的措施。</w:t>
      </w:r>
    </w:p>
    <w:p w14:paraId="35D1F1AC" w14:textId="682BE65D" w:rsidR="008E2738" w:rsidRPr="003E1D4F" w:rsidRDefault="008E2738"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次生灾害源点单位和抢险救灾的部门单位及专业队伍都应制定地震应急预案。</w:t>
      </w:r>
    </w:p>
    <w:p w14:paraId="7731670E" w14:textId="7CF4E416" w:rsidR="008E2738" w:rsidRPr="003E1D4F" w:rsidRDefault="008E2738"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2.针对地震次生火灾、水灾、地质灾害制定防治策略，对燃气系统提出抗震防灾要求。</w:t>
      </w:r>
    </w:p>
    <w:p w14:paraId="59DF07EB" w14:textId="2992C29E" w:rsidR="00C6779C" w:rsidRPr="003E1D4F" w:rsidRDefault="00C6779C" w:rsidP="00B11822">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（七）避震疏散体系规划</w:t>
      </w:r>
    </w:p>
    <w:p w14:paraId="0EFC996E" w14:textId="65426D6B" w:rsidR="00C6779C" w:rsidRPr="003E1D4F" w:rsidRDefault="00C6779C"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1</w:t>
      </w:r>
      <w:r w:rsidRPr="003E1D4F">
        <w:rPr>
          <w:rFonts w:ascii="仿宋_GB2312" w:eastAsia="仿宋_GB2312" w:hAnsi="仿宋"/>
          <w:sz w:val="32"/>
          <w:szCs w:val="32"/>
        </w:rPr>
        <w:t>.</w:t>
      </w:r>
      <w:r w:rsidRPr="003E1D4F">
        <w:rPr>
          <w:rFonts w:ascii="仿宋_GB2312" w:eastAsia="仿宋_GB2312" w:hAnsi="仿宋" w:hint="eastAsia"/>
          <w:sz w:val="32"/>
          <w:szCs w:val="32"/>
        </w:rPr>
        <w:t>避震疏散场所规划</w:t>
      </w:r>
    </w:p>
    <w:p w14:paraId="646B2DDA" w14:textId="267327DC" w:rsidR="00FC68D6" w:rsidRDefault="00FC68D6" w:rsidP="00FC68D6">
      <w:pPr>
        <w:spacing w:line="560" w:lineRule="exact"/>
        <w:ind w:firstLineChars="200" w:firstLine="640"/>
        <w:rPr>
          <w:rFonts w:ascii="仿宋_GB2312" w:eastAsia="仿宋_GB2312" w:hAnsi="仿宋"/>
          <w:sz w:val="32"/>
          <w:szCs w:val="32"/>
        </w:rPr>
      </w:pPr>
      <w:r w:rsidRPr="001F24BD">
        <w:rPr>
          <w:rFonts w:ascii="仿宋_GB2312" w:eastAsia="仿宋_GB2312" w:hAnsi="仿宋" w:hint="eastAsia"/>
          <w:sz w:val="32"/>
          <w:szCs w:val="32"/>
        </w:rPr>
        <w:t>本规划的避震疏散场所用于地震及次生灾害的应对，场所</w:t>
      </w:r>
      <w:r>
        <w:rPr>
          <w:rFonts w:ascii="仿宋_GB2312" w:eastAsia="仿宋_GB2312" w:hAnsi="仿宋" w:hint="eastAsia"/>
          <w:sz w:val="32"/>
          <w:szCs w:val="32"/>
        </w:rPr>
        <w:t>类型包括</w:t>
      </w:r>
      <w:r w:rsidRPr="00C6779C">
        <w:rPr>
          <w:rFonts w:ascii="仿宋_GB2312" w:eastAsia="仿宋_GB2312" w:hAnsi="仿宋" w:hint="eastAsia"/>
          <w:sz w:val="32"/>
          <w:szCs w:val="32"/>
        </w:rPr>
        <w:t>中心避震疏散场所</w:t>
      </w:r>
      <w:r>
        <w:rPr>
          <w:rFonts w:ascii="仿宋_GB2312" w:eastAsia="仿宋_GB2312" w:hAnsi="仿宋" w:hint="eastAsia"/>
          <w:sz w:val="32"/>
          <w:szCs w:val="32"/>
        </w:rPr>
        <w:t>、</w:t>
      </w:r>
      <w:r w:rsidRPr="00C6779C">
        <w:rPr>
          <w:rFonts w:ascii="仿宋_GB2312" w:eastAsia="仿宋_GB2312" w:hAnsi="仿宋"/>
          <w:sz w:val="32"/>
          <w:szCs w:val="32"/>
        </w:rPr>
        <w:t>固定避震疏散场所</w:t>
      </w:r>
      <w:r>
        <w:rPr>
          <w:rFonts w:ascii="仿宋_GB2312" w:eastAsia="仿宋_GB2312" w:hAnsi="仿宋" w:hint="eastAsia"/>
          <w:sz w:val="32"/>
          <w:szCs w:val="32"/>
        </w:rPr>
        <w:t>、</w:t>
      </w:r>
      <w:r w:rsidRPr="00AF6FF6">
        <w:rPr>
          <w:rFonts w:ascii="仿宋_GB2312" w:eastAsia="仿宋_GB2312" w:hAnsi="仿宋" w:hint="eastAsia"/>
          <w:sz w:val="32"/>
          <w:szCs w:val="32"/>
        </w:rPr>
        <w:t>紧急避震疏散场所</w:t>
      </w:r>
      <w:r>
        <w:rPr>
          <w:rFonts w:ascii="仿宋_GB2312" w:eastAsia="仿宋_GB2312" w:hAnsi="仿宋" w:hint="eastAsia"/>
          <w:sz w:val="32"/>
          <w:szCs w:val="32"/>
        </w:rPr>
        <w:t>，其中</w:t>
      </w:r>
      <w:r w:rsidRPr="00AF6FF6">
        <w:rPr>
          <w:rFonts w:ascii="仿宋_GB2312" w:eastAsia="仿宋_GB2312" w:hAnsi="仿宋" w:hint="eastAsia"/>
          <w:sz w:val="32"/>
          <w:szCs w:val="32"/>
        </w:rPr>
        <w:t>紧急避震疏散场所人均有效避难面积不小于</w:t>
      </w:r>
      <w:r w:rsidRPr="00AF6FF6">
        <w:rPr>
          <w:rFonts w:ascii="仿宋_GB2312" w:eastAsia="仿宋_GB2312" w:hAnsi="仿宋"/>
          <w:sz w:val="32"/>
          <w:szCs w:val="32"/>
        </w:rPr>
        <w:t>1.0平方米</w:t>
      </w:r>
      <w:r>
        <w:rPr>
          <w:rFonts w:ascii="仿宋_GB2312" w:eastAsia="仿宋_GB2312" w:hAnsi="仿宋" w:hint="eastAsia"/>
          <w:sz w:val="32"/>
          <w:szCs w:val="32"/>
        </w:rPr>
        <w:t>。</w:t>
      </w:r>
      <w:r w:rsidRPr="00AF6FF6">
        <w:rPr>
          <w:rFonts w:ascii="仿宋_GB2312" w:eastAsia="仿宋_GB2312" w:hAnsi="仿宋" w:hint="eastAsia"/>
          <w:sz w:val="32"/>
          <w:szCs w:val="32"/>
        </w:rPr>
        <w:t>具体设施布局结合生活圈建设在</w:t>
      </w:r>
      <w:r>
        <w:rPr>
          <w:rFonts w:ascii="仿宋_GB2312" w:eastAsia="仿宋_GB2312" w:hAnsi="仿宋" w:hint="eastAsia"/>
          <w:sz w:val="32"/>
          <w:szCs w:val="32"/>
        </w:rPr>
        <w:t>详细</w:t>
      </w:r>
      <w:r w:rsidRPr="00AF6FF6">
        <w:rPr>
          <w:rFonts w:ascii="仿宋_GB2312" w:eastAsia="仿宋_GB2312" w:hAnsi="仿宋" w:hint="eastAsia"/>
          <w:sz w:val="32"/>
          <w:szCs w:val="32"/>
        </w:rPr>
        <w:t>规划中落实。</w:t>
      </w:r>
    </w:p>
    <w:p w14:paraId="46431437" w14:textId="39A1DEBD" w:rsidR="00AF6FF6" w:rsidRPr="003E1D4F" w:rsidRDefault="00AF6FF6" w:rsidP="00AF6FF6">
      <w:pPr>
        <w:tabs>
          <w:tab w:val="center" w:pos="4473"/>
        </w:tabs>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2</w:t>
      </w:r>
      <w:r w:rsidRPr="003E1D4F">
        <w:rPr>
          <w:rFonts w:ascii="仿宋_GB2312" w:eastAsia="仿宋_GB2312" w:hAnsi="仿宋"/>
          <w:sz w:val="32"/>
          <w:szCs w:val="32"/>
        </w:rPr>
        <w:t>.</w:t>
      </w:r>
      <w:r w:rsidRPr="003E1D4F">
        <w:rPr>
          <w:rFonts w:ascii="仿宋_GB2312" w:eastAsia="仿宋_GB2312" w:hAnsi="仿宋" w:hint="eastAsia"/>
          <w:sz w:val="32"/>
          <w:szCs w:val="32"/>
        </w:rPr>
        <w:t>应急通道布局规划</w:t>
      </w:r>
    </w:p>
    <w:p w14:paraId="75CD2435" w14:textId="5992CC66" w:rsidR="0070638B" w:rsidRPr="003E1D4F" w:rsidRDefault="0070638B" w:rsidP="0070638B">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规划形成救灾干道、疏散主干道、疏散次干道三级疏散网络，同时统筹航空、水路、铁路多种交通疏解方式，打造“海陆空”立体疏散救援体系。</w:t>
      </w:r>
    </w:p>
    <w:p w14:paraId="6FB85AD7" w14:textId="753BB53C" w:rsidR="006B3A3C" w:rsidRPr="003E1D4F" w:rsidRDefault="006B3A3C" w:rsidP="0070638B">
      <w:pPr>
        <w:spacing w:line="560" w:lineRule="exact"/>
        <w:ind w:firstLineChars="200" w:firstLine="640"/>
        <w:rPr>
          <w:rFonts w:ascii="楷体" w:eastAsia="楷体" w:hAnsi="楷体"/>
          <w:sz w:val="32"/>
          <w:szCs w:val="32"/>
        </w:rPr>
      </w:pPr>
      <w:r w:rsidRPr="003E1D4F">
        <w:rPr>
          <w:rFonts w:ascii="楷体" w:eastAsia="楷体" w:hAnsi="楷体" w:hint="eastAsia"/>
          <w:sz w:val="32"/>
          <w:szCs w:val="32"/>
        </w:rPr>
        <w:t>（八）城市产业园区抗震防灾</w:t>
      </w:r>
    </w:p>
    <w:p w14:paraId="266048F8" w14:textId="1E85E9C0" w:rsidR="006B3A3C" w:rsidRPr="003E1D4F" w:rsidRDefault="006B3A3C" w:rsidP="0070638B">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聚焦薄弱环节，提高重点产业园区防灾减灾能力</w:t>
      </w:r>
      <w:r w:rsidR="003124CE" w:rsidRPr="003E1D4F">
        <w:rPr>
          <w:rFonts w:ascii="仿宋_GB2312" w:eastAsia="仿宋_GB2312" w:hAnsi="仿宋" w:hint="eastAsia"/>
          <w:sz w:val="32"/>
          <w:szCs w:val="32"/>
        </w:rPr>
        <w:t>。</w:t>
      </w:r>
      <w:r w:rsidRPr="003E1D4F">
        <w:rPr>
          <w:rFonts w:ascii="仿宋_GB2312" w:eastAsia="仿宋_GB2312" w:hAnsi="仿宋" w:hint="eastAsia"/>
          <w:sz w:val="32"/>
          <w:szCs w:val="32"/>
        </w:rPr>
        <w:t>健全完善产业园区的应急响应机制和制度，明确不同时期、不同级别的响应措施；建立多维度物流供应保障，搭建产业智慧管理平台。</w:t>
      </w:r>
    </w:p>
    <w:p w14:paraId="1D6BE6B5" w14:textId="7E3AA425" w:rsidR="000E1C03" w:rsidRPr="003E1D4F" w:rsidRDefault="006B3A3C"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八、</w:t>
      </w:r>
      <w:r w:rsidR="000E1C03" w:rsidRPr="003E1D4F">
        <w:rPr>
          <w:rFonts w:ascii="黑体" w:eastAsia="黑体" w:hAnsi="黑体" w:hint="eastAsia"/>
          <w:sz w:val="32"/>
          <w:szCs w:val="32"/>
        </w:rPr>
        <w:t>灾后应急响应</w:t>
      </w:r>
    </w:p>
    <w:p w14:paraId="4F7E6B7F" w14:textId="77777777" w:rsidR="000E1C03" w:rsidRPr="003E1D4F" w:rsidRDefault="000E1C0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应急救灾组织指挥体系、应急响应处置程序等应按照《青岛市地震应急预案》执行。</w:t>
      </w:r>
    </w:p>
    <w:p w14:paraId="3FEEB463" w14:textId="6788368C" w:rsidR="000E1C03" w:rsidRPr="003E1D4F" w:rsidRDefault="006B3A3C"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九</w:t>
      </w:r>
      <w:r w:rsidR="000E1C03" w:rsidRPr="003E1D4F">
        <w:rPr>
          <w:rFonts w:ascii="黑体" w:eastAsia="黑体" w:hAnsi="黑体" w:hint="eastAsia"/>
          <w:sz w:val="32"/>
          <w:szCs w:val="32"/>
        </w:rPr>
        <w:t>、规划管理和保障</w:t>
      </w:r>
    </w:p>
    <w:p w14:paraId="438B1E38" w14:textId="45F3F95E" w:rsidR="00D32CDC" w:rsidRPr="003E1D4F" w:rsidRDefault="000E1C03"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明确规划的协调管理和传导要求；加强领导，健全机构，强化监督管理；建立健全防灾的法规和制度；加强宣传培训，增强全民抗震减灾意识和能力；依靠科技进步，提高城市抗震能力和水平；建设地理信息管理系统；建立稳定的投入保障机制。</w:t>
      </w:r>
    </w:p>
    <w:p w14:paraId="4FFE45DF" w14:textId="626BC2ED" w:rsidR="006149BE" w:rsidRPr="003E1D4F" w:rsidRDefault="006149BE" w:rsidP="00B11822">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十、其他事项</w:t>
      </w:r>
    </w:p>
    <w:p w14:paraId="3BB257F3" w14:textId="7162B4F6" w:rsidR="006149BE" w:rsidRPr="003E1D4F" w:rsidRDefault="006149BE"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本规划确定的各类设施布局可结合场地自然条件、周边建设情况等要素，在相关专业专项规划、详细规划中进行优化调整。</w:t>
      </w:r>
    </w:p>
    <w:p w14:paraId="72C54709" w14:textId="5A0BD790" w:rsidR="006149BE" w:rsidRPr="003E1D4F" w:rsidRDefault="006149BE" w:rsidP="00B11822">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本规划自</w:t>
      </w:r>
      <w:r w:rsidR="003E1D4F" w:rsidRPr="003E1D4F">
        <w:rPr>
          <w:rFonts w:ascii="仿宋_GB2312" w:eastAsia="仿宋_GB2312" w:hAnsi="仿宋" w:hint="eastAsia"/>
          <w:sz w:val="32"/>
          <w:szCs w:val="32"/>
        </w:rPr>
        <w:t>批复</w:t>
      </w:r>
      <w:r w:rsidRPr="003E1D4F">
        <w:rPr>
          <w:rFonts w:ascii="仿宋_GB2312" w:eastAsia="仿宋_GB2312" w:hAnsi="仿宋" w:hint="eastAsia"/>
          <w:sz w:val="32"/>
          <w:szCs w:val="32"/>
        </w:rPr>
        <w:t>之日起生效，实施过程中，国家、省、市出台新的相关规定的，按新规定执行。</w:t>
      </w:r>
    </w:p>
    <w:p w14:paraId="4E19D1F0" w14:textId="1DD487B0" w:rsidR="00555FE7" w:rsidRPr="003E1D4F" w:rsidRDefault="00555FE7" w:rsidP="00555FE7">
      <w:pPr>
        <w:spacing w:line="560" w:lineRule="exact"/>
        <w:ind w:firstLineChars="200" w:firstLine="640"/>
        <w:rPr>
          <w:rFonts w:ascii="黑体" w:eastAsia="黑体" w:hAnsi="黑体"/>
          <w:sz w:val="32"/>
          <w:szCs w:val="32"/>
        </w:rPr>
      </w:pPr>
      <w:r w:rsidRPr="003E1D4F">
        <w:rPr>
          <w:rFonts w:ascii="黑体" w:eastAsia="黑体" w:hAnsi="黑体" w:hint="eastAsia"/>
          <w:sz w:val="32"/>
          <w:szCs w:val="32"/>
        </w:rPr>
        <w:t>十一、政策解读机构及咨询方式</w:t>
      </w:r>
    </w:p>
    <w:p w14:paraId="4F97C2E5" w14:textId="71EFF5A3" w:rsidR="00555FE7" w:rsidRPr="003E1D4F" w:rsidRDefault="00555FE7" w:rsidP="00555FE7">
      <w:pPr>
        <w:spacing w:line="560" w:lineRule="exact"/>
        <w:ind w:firstLineChars="200" w:firstLine="640"/>
        <w:rPr>
          <w:rFonts w:ascii="仿宋_GB2312" w:eastAsia="仿宋_GB2312" w:hAnsi="仿宋"/>
          <w:sz w:val="32"/>
          <w:szCs w:val="32"/>
        </w:rPr>
      </w:pPr>
      <w:r w:rsidRPr="003E1D4F">
        <w:rPr>
          <w:rFonts w:ascii="仿宋_GB2312" w:eastAsia="仿宋_GB2312" w:hAnsi="仿宋"/>
          <w:sz w:val="32"/>
          <w:szCs w:val="32"/>
        </w:rPr>
        <w:t>政策解读单位：</w:t>
      </w:r>
      <w:r w:rsidRPr="003E1D4F">
        <w:rPr>
          <w:rFonts w:ascii="仿宋_GB2312" w:eastAsia="仿宋_GB2312" w:hAnsi="仿宋" w:hint="eastAsia"/>
          <w:sz w:val="32"/>
          <w:szCs w:val="32"/>
        </w:rPr>
        <w:t>青岛市</w:t>
      </w:r>
      <w:r w:rsidRPr="003E1D4F">
        <w:rPr>
          <w:rFonts w:ascii="仿宋_GB2312" w:eastAsia="仿宋_GB2312" w:hAnsi="仿宋"/>
          <w:sz w:val="32"/>
          <w:szCs w:val="32"/>
        </w:rPr>
        <w:t>住房和城乡建设局</w:t>
      </w:r>
    </w:p>
    <w:p w14:paraId="0C1CBBD0" w14:textId="16593B5E" w:rsidR="00555FE7" w:rsidRPr="003E1D4F" w:rsidRDefault="00555FE7" w:rsidP="00555FE7">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具体联系人：王孜纯</w:t>
      </w:r>
    </w:p>
    <w:p w14:paraId="195627E4" w14:textId="3BF423BF" w:rsidR="00555FE7" w:rsidRPr="003E1D4F" w:rsidRDefault="00555FE7" w:rsidP="00555FE7">
      <w:pPr>
        <w:spacing w:line="560" w:lineRule="exact"/>
        <w:ind w:firstLineChars="200" w:firstLine="640"/>
        <w:rPr>
          <w:rFonts w:ascii="仿宋_GB2312" w:eastAsia="仿宋_GB2312" w:hAnsi="仿宋"/>
          <w:sz w:val="32"/>
          <w:szCs w:val="32"/>
        </w:rPr>
      </w:pPr>
      <w:r w:rsidRPr="003E1D4F">
        <w:rPr>
          <w:rFonts w:ascii="仿宋_GB2312" w:eastAsia="仿宋_GB2312" w:hAnsi="仿宋" w:hint="eastAsia"/>
          <w:sz w:val="32"/>
          <w:szCs w:val="32"/>
        </w:rPr>
        <w:t>咨询电话：</w:t>
      </w:r>
      <w:r w:rsidRPr="003E1D4F">
        <w:rPr>
          <w:rFonts w:ascii="仿宋_GB2312" w:eastAsia="仿宋_GB2312" w:hAnsi="仿宋"/>
          <w:sz w:val="32"/>
          <w:szCs w:val="32"/>
        </w:rPr>
        <w:t>0532-85739955</w:t>
      </w:r>
    </w:p>
    <w:p w14:paraId="19452734" w14:textId="77777777" w:rsidR="00555FE7" w:rsidRPr="003E1D4F" w:rsidRDefault="00555FE7" w:rsidP="00646C76">
      <w:pPr>
        <w:spacing w:line="560" w:lineRule="exact"/>
        <w:rPr>
          <w:rFonts w:ascii="仿宋_GB2312" w:eastAsia="仿宋_GB2312" w:hAnsi="仿宋"/>
          <w:sz w:val="32"/>
          <w:szCs w:val="32"/>
        </w:rPr>
      </w:pPr>
    </w:p>
    <w:p w14:paraId="0CFDB369" w14:textId="77777777" w:rsidR="00555FE7" w:rsidRPr="003E1D4F" w:rsidRDefault="00555FE7" w:rsidP="00646C76">
      <w:pPr>
        <w:spacing w:line="560" w:lineRule="exact"/>
        <w:rPr>
          <w:rFonts w:ascii="仿宋_GB2312" w:eastAsia="仿宋_GB2312" w:hAnsi="仿宋"/>
          <w:sz w:val="32"/>
          <w:szCs w:val="32"/>
        </w:rPr>
      </w:pPr>
    </w:p>
    <w:p w14:paraId="7BD87B7D" w14:textId="77777777" w:rsidR="00555FE7" w:rsidRPr="003E1D4F" w:rsidRDefault="00555FE7" w:rsidP="00646C76">
      <w:pPr>
        <w:spacing w:line="560" w:lineRule="exact"/>
        <w:rPr>
          <w:rFonts w:ascii="仿宋_GB2312" w:eastAsia="仿宋_GB2312" w:hAnsi="仿宋"/>
          <w:sz w:val="32"/>
          <w:szCs w:val="32"/>
        </w:rPr>
      </w:pPr>
    </w:p>
    <w:p w14:paraId="085BF406" w14:textId="77777777" w:rsidR="00646C76" w:rsidRPr="003E1D4F" w:rsidRDefault="00646C76" w:rsidP="00646C76">
      <w:pPr>
        <w:spacing w:line="560" w:lineRule="exact"/>
        <w:ind w:firstLineChars="200" w:firstLine="640"/>
        <w:rPr>
          <w:rFonts w:ascii="仿宋_GB2312" w:eastAsia="仿宋_GB2312" w:hAnsi="仿宋"/>
          <w:sz w:val="32"/>
          <w:szCs w:val="32"/>
        </w:rPr>
      </w:pPr>
    </w:p>
    <w:sectPr w:rsidR="00646C76" w:rsidRPr="003E1D4F" w:rsidSect="00555FE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2744A" w14:textId="77777777" w:rsidR="00383D4A" w:rsidRDefault="00383D4A" w:rsidP="00D32CDC">
      <w:r>
        <w:separator/>
      </w:r>
    </w:p>
  </w:endnote>
  <w:endnote w:type="continuationSeparator" w:id="0">
    <w:p w14:paraId="3B09E19E" w14:textId="77777777" w:rsidR="00383D4A" w:rsidRDefault="00383D4A" w:rsidP="00D3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等线 Light">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6D552" w14:textId="77777777" w:rsidR="00383D4A" w:rsidRDefault="00383D4A" w:rsidP="00D32CDC">
      <w:r>
        <w:separator/>
      </w:r>
    </w:p>
  </w:footnote>
  <w:footnote w:type="continuationSeparator" w:id="0">
    <w:p w14:paraId="603E2757" w14:textId="77777777" w:rsidR="00383D4A" w:rsidRDefault="00383D4A" w:rsidP="00D32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395885"/>
    <w:multiLevelType w:val="hybridMultilevel"/>
    <w:tmpl w:val="753E67F6"/>
    <w:lvl w:ilvl="0" w:tplc="7086451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46E"/>
    <w:rsid w:val="000037E5"/>
    <w:rsid w:val="00037CF9"/>
    <w:rsid w:val="00051050"/>
    <w:rsid w:val="00062110"/>
    <w:rsid w:val="00094278"/>
    <w:rsid w:val="000E1C03"/>
    <w:rsid w:val="000F41D9"/>
    <w:rsid w:val="00115B4C"/>
    <w:rsid w:val="001254A1"/>
    <w:rsid w:val="00127ACC"/>
    <w:rsid w:val="00141D1F"/>
    <w:rsid w:val="001435C3"/>
    <w:rsid w:val="00152F8C"/>
    <w:rsid w:val="00167F4B"/>
    <w:rsid w:val="0017157A"/>
    <w:rsid w:val="001E366D"/>
    <w:rsid w:val="001F5C58"/>
    <w:rsid w:val="00206060"/>
    <w:rsid w:val="00206592"/>
    <w:rsid w:val="00211E23"/>
    <w:rsid w:val="00214BCD"/>
    <w:rsid w:val="00237EE6"/>
    <w:rsid w:val="002828FF"/>
    <w:rsid w:val="002834BB"/>
    <w:rsid w:val="002F60CF"/>
    <w:rsid w:val="003124CE"/>
    <w:rsid w:val="00314F6A"/>
    <w:rsid w:val="0031695F"/>
    <w:rsid w:val="003316C4"/>
    <w:rsid w:val="00362AB0"/>
    <w:rsid w:val="003732B6"/>
    <w:rsid w:val="00382967"/>
    <w:rsid w:val="00383D4A"/>
    <w:rsid w:val="003E1D4F"/>
    <w:rsid w:val="003E42FD"/>
    <w:rsid w:val="003E4722"/>
    <w:rsid w:val="003E5233"/>
    <w:rsid w:val="0042346E"/>
    <w:rsid w:val="00423937"/>
    <w:rsid w:val="00433488"/>
    <w:rsid w:val="00434DDB"/>
    <w:rsid w:val="00442781"/>
    <w:rsid w:val="004746D2"/>
    <w:rsid w:val="00500DFE"/>
    <w:rsid w:val="00505365"/>
    <w:rsid w:val="00535FD8"/>
    <w:rsid w:val="005401DB"/>
    <w:rsid w:val="005413ED"/>
    <w:rsid w:val="00542672"/>
    <w:rsid w:val="00554C16"/>
    <w:rsid w:val="00555FE7"/>
    <w:rsid w:val="005A7F1F"/>
    <w:rsid w:val="005C21FB"/>
    <w:rsid w:val="005C4FD5"/>
    <w:rsid w:val="005F54ED"/>
    <w:rsid w:val="00603CD0"/>
    <w:rsid w:val="00611AF8"/>
    <w:rsid w:val="006149BE"/>
    <w:rsid w:val="00626FA0"/>
    <w:rsid w:val="006279E1"/>
    <w:rsid w:val="00631D7D"/>
    <w:rsid w:val="00646C76"/>
    <w:rsid w:val="006B3A3C"/>
    <w:rsid w:val="006F5A7C"/>
    <w:rsid w:val="0070638B"/>
    <w:rsid w:val="00713D42"/>
    <w:rsid w:val="00717363"/>
    <w:rsid w:val="00736B92"/>
    <w:rsid w:val="00736DA0"/>
    <w:rsid w:val="00741177"/>
    <w:rsid w:val="00783FDD"/>
    <w:rsid w:val="007961CD"/>
    <w:rsid w:val="00797BFC"/>
    <w:rsid w:val="007A07FF"/>
    <w:rsid w:val="007A0A37"/>
    <w:rsid w:val="007C21A8"/>
    <w:rsid w:val="007D3888"/>
    <w:rsid w:val="007E7BC4"/>
    <w:rsid w:val="007F3256"/>
    <w:rsid w:val="00816903"/>
    <w:rsid w:val="0089028A"/>
    <w:rsid w:val="008E2738"/>
    <w:rsid w:val="00932F55"/>
    <w:rsid w:val="0094799E"/>
    <w:rsid w:val="009C15C2"/>
    <w:rsid w:val="009E21EE"/>
    <w:rsid w:val="009E2840"/>
    <w:rsid w:val="00A1598E"/>
    <w:rsid w:val="00A33F2B"/>
    <w:rsid w:val="00A732FF"/>
    <w:rsid w:val="00A77DEA"/>
    <w:rsid w:val="00A94F75"/>
    <w:rsid w:val="00AC167D"/>
    <w:rsid w:val="00AE618F"/>
    <w:rsid w:val="00AF6FF6"/>
    <w:rsid w:val="00B11822"/>
    <w:rsid w:val="00B4703A"/>
    <w:rsid w:val="00B55C53"/>
    <w:rsid w:val="00B8703E"/>
    <w:rsid w:val="00BB737B"/>
    <w:rsid w:val="00BC05AD"/>
    <w:rsid w:val="00BC7796"/>
    <w:rsid w:val="00BD0A23"/>
    <w:rsid w:val="00BD65E3"/>
    <w:rsid w:val="00BE43E1"/>
    <w:rsid w:val="00C258C1"/>
    <w:rsid w:val="00C52890"/>
    <w:rsid w:val="00C56FBE"/>
    <w:rsid w:val="00C644C4"/>
    <w:rsid w:val="00C6779C"/>
    <w:rsid w:val="00CA2C4F"/>
    <w:rsid w:val="00CD53BE"/>
    <w:rsid w:val="00CF11A2"/>
    <w:rsid w:val="00CF7839"/>
    <w:rsid w:val="00D06358"/>
    <w:rsid w:val="00D07F02"/>
    <w:rsid w:val="00D109C9"/>
    <w:rsid w:val="00D1298F"/>
    <w:rsid w:val="00D32CDC"/>
    <w:rsid w:val="00D334F9"/>
    <w:rsid w:val="00D4658D"/>
    <w:rsid w:val="00D733AB"/>
    <w:rsid w:val="00D75195"/>
    <w:rsid w:val="00DA62A3"/>
    <w:rsid w:val="00DD69C9"/>
    <w:rsid w:val="00DD7A9C"/>
    <w:rsid w:val="00DE0E07"/>
    <w:rsid w:val="00DF3FDE"/>
    <w:rsid w:val="00E066D2"/>
    <w:rsid w:val="00E36B3B"/>
    <w:rsid w:val="00E579F0"/>
    <w:rsid w:val="00E6191E"/>
    <w:rsid w:val="00E875A4"/>
    <w:rsid w:val="00E970AE"/>
    <w:rsid w:val="00EA7BFE"/>
    <w:rsid w:val="00ED3C5D"/>
    <w:rsid w:val="00EE1818"/>
    <w:rsid w:val="00EE3658"/>
    <w:rsid w:val="00F62E03"/>
    <w:rsid w:val="00F8285C"/>
    <w:rsid w:val="00FA1A46"/>
    <w:rsid w:val="00FC68D6"/>
    <w:rsid w:val="00FE3464"/>
    <w:rsid w:val="00FF4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2D8CE"/>
  <w15:chartTrackingRefBased/>
  <w15:docId w15:val="{0ADAF2BB-E6F4-403E-B8B8-4365D5DF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46E"/>
    <w:pPr>
      <w:ind w:firstLineChars="200" w:firstLine="420"/>
    </w:pPr>
  </w:style>
  <w:style w:type="paragraph" w:styleId="a4">
    <w:name w:val="Title"/>
    <w:basedOn w:val="a"/>
    <w:next w:val="a"/>
    <w:link w:val="Char"/>
    <w:uiPriority w:val="10"/>
    <w:qFormat/>
    <w:rsid w:val="0042346E"/>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4"/>
    <w:uiPriority w:val="10"/>
    <w:rsid w:val="0042346E"/>
    <w:rPr>
      <w:rFonts w:asciiTheme="majorHAnsi" w:eastAsiaTheme="majorEastAsia" w:hAnsiTheme="majorHAnsi" w:cstheme="majorBidi"/>
      <w:b/>
      <w:bCs/>
      <w:sz w:val="32"/>
      <w:szCs w:val="32"/>
    </w:rPr>
  </w:style>
  <w:style w:type="paragraph" w:styleId="a5">
    <w:name w:val="header"/>
    <w:basedOn w:val="a"/>
    <w:link w:val="Char0"/>
    <w:uiPriority w:val="99"/>
    <w:unhideWhenUsed/>
    <w:rsid w:val="00D32C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32CDC"/>
    <w:rPr>
      <w:sz w:val="18"/>
      <w:szCs w:val="18"/>
    </w:rPr>
  </w:style>
  <w:style w:type="paragraph" w:styleId="a6">
    <w:name w:val="footer"/>
    <w:basedOn w:val="a"/>
    <w:link w:val="Char1"/>
    <w:uiPriority w:val="99"/>
    <w:unhideWhenUsed/>
    <w:rsid w:val="00D32CDC"/>
    <w:pPr>
      <w:tabs>
        <w:tab w:val="center" w:pos="4153"/>
        <w:tab w:val="right" w:pos="8306"/>
      </w:tabs>
      <w:snapToGrid w:val="0"/>
      <w:jc w:val="left"/>
    </w:pPr>
    <w:rPr>
      <w:sz w:val="18"/>
      <w:szCs w:val="18"/>
    </w:rPr>
  </w:style>
  <w:style w:type="character" w:customStyle="1" w:styleId="Char1">
    <w:name w:val="页脚 Char"/>
    <w:basedOn w:val="a0"/>
    <w:link w:val="a6"/>
    <w:uiPriority w:val="99"/>
    <w:rsid w:val="00D32CDC"/>
    <w:rPr>
      <w:sz w:val="18"/>
      <w:szCs w:val="18"/>
    </w:rPr>
  </w:style>
  <w:style w:type="paragraph" w:styleId="a7">
    <w:name w:val="Balloon Text"/>
    <w:basedOn w:val="a"/>
    <w:link w:val="Char2"/>
    <w:uiPriority w:val="99"/>
    <w:semiHidden/>
    <w:unhideWhenUsed/>
    <w:rsid w:val="000E1C03"/>
    <w:rPr>
      <w:sz w:val="18"/>
      <w:szCs w:val="18"/>
    </w:rPr>
  </w:style>
  <w:style w:type="character" w:customStyle="1" w:styleId="Char2">
    <w:name w:val="批注框文本 Char"/>
    <w:basedOn w:val="a0"/>
    <w:link w:val="a7"/>
    <w:uiPriority w:val="99"/>
    <w:semiHidden/>
    <w:rsid w:val="000E1C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08913">
      <w:bodyDiv w:val="1"/>
      <w:marLeft w:val="0"/>
      <w:marRight w:val="0"/>
      <w:marTop w:val="0"/>
      <w:marBottom w:val="0"/>
      <w:divBdr>
        <w:top w:val="none" w:sz="0" w:space="0" w:color="auto"/>
        <w:left w:val="none" w:sz="0" w:space="0" w:color="auto"/>
        <w:bottom w:val="none" w:sz="0" w:space="0" w:color="auto"/>
        <w:right w:val="none" w:sz="0" w:space="0" w:color="auto"/>
      </w:divBdr>
    </w:div>
    <w:div w:id="1232502415">
      <w:bodyDiv w:val="1"/>
      <w:marLeft w:val="0"/>
      <w:marRight w:val="0"/>
      <w:marTop w:val="0"/>
      <w:marBottom w:val="0"/>
      <w:divBdr>
        <w:top w:val="none" w:sz="0" w:space="0" w:color="auto"/>
        <w:left w:val="none" w:sz="0" w:space="0" w:color="auto"/>
        <w:bottom w:val="none" w:sz="0" w:space="0" w:color="auto"/>
        <w:right w:val="none" w:sz="0" w:space="0" w:color="auto"/>
      </w:divBdr>
      <w:divsChild>
        <w:div w:id="1952742848">
          <w:marLeft w:val="0"/>
          <w:marRight w:val="0"/>
          <w:marTop w:val="120"/>
          <w:marBottom w:val="0"/>
          <w:divBdr>
            <w:top w:val="none" w:sz="0" w:space="0" w:color="auto"/>
            <w:left w:val="none" w:sz="0" w:space="0" w:color="auto"/>
            <w:bottom w:val="none" w:sz="0" w:space="0" w:color="auto"/>
            <w:right w:val="none" w:sz="0" w:space="0" w:color="auto"/>
          </w:divBdr>
        </w:div>
      </w:divsChild>
    </w:div>
    <w:div w:id="1403943318">
      <w:bodyDiv w:val="1"/>
      <w:marLeft w:val="0"/>
      <w:marRight w:val="0"/>
      <w:marTop w:val="0"/>
      <w:marBottom w:val="0"/>
      <w:divBdr>
        <w:top w:val="none" w:sz="0" w:space="0" w:color="auto"/>
        <w:left w:val="none" w:sz="0" w:space="0" w:color="auto"/>
        <w:bottom w:val="none" w:sz="0" w:space="0" w:color="auto"/>
        <w:right w:val="none" w:sz="0" w:space="0" w:color="auto"/>
      </w:divBdr>
      <w:divsChild>
        <w:div w:id="149295217">
          <w:marLeft w:val="0"/>
          <w:marRight w:val="0"/>
          <w:marTop w:val="120"/>
          <w:marBottom w:val="0"/>
          <w:divBdr>
            <w:top w:val="none" w:sz="0" w:space="0" w:color="auto"/>
            <w:left w:val="none" w:sz="0" w:space="0" w:color="auto"/>
            <w:bottom w:val="none" w:sz="0" w:space="0" w:color="auto"/>
            <w:right w:val="none" w:sz="0" w:space="0" w:color="auto"/>
          </w:divBdr>
        </w:div>
        <w:div w:id="275253614">
          <w:marLeft w:val="0"/>
          <w:marRight w:val="0"/>
          <w:marTop w:val="120"/>
          <w:marBottom w:val="0"/>
          <w:divBdr>
            <w:top w:val="none" w:sz="0" w:space="0" w:color="auto"/>
            <w:left w:val="none" w:sz="0" w:space="0" w:color="auto"/>
            <w:bottom w:val="none" w:sz="0" w:space="0" w:color="auto"/>
            <w:right w:val="none" w:sz="0" w:space="0" w:color="auto"/>
          </w:divBdr>
        </w:div>
      </w:divsChild>
    </w:div>
    <w:div w:id="1516918591">
      <w:bodyDiv w:val="1"/>
      <w:marLeft w:val="0"/>
      <w:marRight w:val="0"/>
      <w:marTop w:val="0"/>
      <w:marBottom w:val="0"/>
      <w:divBdr>
        <w:top w:val="none" w:sz="0" w:space="0" w:color="auto"/>
        <w:left w:val="none" w:sz="0" w:space="0" w:color="auto"/>
        <w:bottom w:val="none" w:sz="0" w:space="0" w:color="auto"/>
        <w:right w:val="none" w:sz="0" w:space="0" w:color="auto"/>
      </w:divBdr>
      <w:divsChild>
        <w:div w:id="243802734">
          <w:marLeft w:val="446"/>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8</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25</cp:revision>
  <cp:lastPrinted>2025-01-22T07:11:00Z</cp:lastPrinted>
  <dcterms:created xsi:type="dcterms:W3CDTF">2026-07-06T01:14:00Z</dcterms:created>
  <dcterms:modified xsi:type="dcterms:W3CDTF">2026-09-01T03:03:00Z</dcterms:modified>
</cp:coreProperties>
</file>