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4C6992">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ascii="方正小标宋_GBK" w:hAnsi="方正小标宋_GBK" w:eastAsia="方正小标宋_GBK" w:cs="方正小标宋_GBK"/>
          <w:color w:val="000000" w:themeColor="text1"/>
          <w:sz w:val="44"/>
          <w:szCs w:val="44"/>
          <w:highlight w:val="none"/>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14:textFill>
            <w14:solidFill>
              <w14:schemeClr w14:val="tx1"/>
            </w14:solidFill>
          </w14:textFill>
        </w:rPr>
        <w:t>青岛市城市更新条例</w:t>
      </w:r>
    </w:p>
    <w:p w14:paraId="7873223F">
      <w:pPr>
        <w:keepNext w:val="0"/>
        <w:keepLines w:val="0"/>
        <w:pageBreakBefore w:val="0"/>
        <w:kinsoku/>
        <w:wordWrap/>
        <w:overflowPunct/>
        <w:topLinePunct w:val="0"/>
        <w:autoSpaceDE/>
        <w:autoSpaceDN/>
        <w:bidi w:val="0"/>
        <w:adjustRightInd/>
        <w:snapToGrid/>
        <w:spacing w:line="560" w:lineRule="exact"/>
        <w:ind w:firstLine="0" w:firstLineChars="0"/>
        <w:jc w:val="center"/>
        <w:textAlignment w:val="auto"/>
        <w:rPr>
          <w:rFonts w:ascii="楷体_GB2312" w:hAnsi="楷体_GB2312" w:eastAsia="楷体_GB2312" w:cs="楷体_GB2312"/>
          <w:color w:val="000000" w:themeColor="text1"/>
          <w:szCs w:val="32"/>
          <w:highlight w:val="none"/>
          <w14:textFill>
            <w14:solidFill>
              <w14:schemeClr w14:val="tx1"/>
            </w14:solidFill>
          </w14:textFill>
        </w:rPr>
      </w:pPr>
      <w:r>
        <w:rPr>
          <w:rFonts w:hint="eastAsia" w:ascii="楷体_GB2312" w:hAnsi="楷体_GB2312" w:eastAsia="楷体_GB2312" w:cs="楷体_GB2312"/>
          <w:color w:val="000000" w:themeColor="text1"/>
          <w:szCs w:val="32"/>
          <w:highlight w:val="none"/>
          <w14:textFill>
            <w14:solidFill>
              <w14:schemeClr w14:val="tx1"/>
            </w14:solidFill>
          </w14:textFill>
        </w:rPr>
        <w:t>（征求意见稿）</w:t>
      </w:r>
    </w:p>
    <w:p w14:paraId="064272FD">
      <w:pPr>
        <w:keepNext w:val="0"/>
        <w:keepLines w:val="0"/>
        <w:pageBreakBefore w:val="0"/>
        <w:kinsoku/>
        <w:wordWrap/>
        <w:overflowPunct/>
        <w:topLinePunct w:val="0"/>
        <w:autoSpaceDE/>
        <w:autoSpaceDN/>
        <w:bidi w:val="0"/>
        <w:adjustRightInd/>
        <w:snapToGrid/>
        <w:spacing w:line="560" w:lineRule="exact"/>
        <w:ind w:firstLine="640"/>
        <w:jc w:val="center"/>
        <w:textAlignment w:val="auto"/>
        <w:rPr>
          <w:rFonts w:ascii="黑体" w:hAnsi="黑体" w:eastAsia="黑体"/>
          <w:color w:val="000000" w:themeColor="text1"/>
          <w:szCs w:val="32"/>
          <w:highlight w:val="none"/>
          <w14:textFill>
            <w14:solidFill>
              <w14:schemeClr w14:val="tx1"/>
            </w14:solidFill>
          </w14:textFill>
        </w:rPr>
      </w:pPr>
    </w:p>
    <w:p w14:paraId="6C63035E">
      <w:pPr>
        <w:pStyle w:val="3"/>
        <w:keepNext w:val="0"/>
        <w:keepLines w:val="0"/>
        <w:pageBreakBefore w:val="0"/>
        <w:kinsoku/>
        <w:wordWrap/>
        <w:overflowPunct/>
        <w:topLinePunct w:val="0"/>
        <w:autoSpaceDE/>
        <w:autoSpaceDN/>
        <w:bidi w:val="0"/>
        <w:adjustRightInd/>
        <w:snapToGrid/>
        <w:spacing w:line="560" w:lineRule="exact"/>
        <w:textAlignment w:val="auto"/>
        <w:rPr>
          <w:szCs w:val="32"/>
          <w:highlight w:val="none"/>
        </w:rPr>
      </w:pPr>
      <w:r>
        <w:rPr>
          <w:rFonts w:hint="eastAsia"/>
          <w:highlight w:val="none"/>
        </w:rPr>
        <w:t>第一章  总则</w:t>
      </w:r>
    </w:p>
    <w:p w14:paraId="67CAEE6B">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第一条</w:t>
      </w:r>
      <w:r>
        <w:rPr>
          <w:rStyle w:val="47"/>
          <w:rFonts w:hint="eastAsia"/>
          <w:sz w:val="24"/>
          <w:szCs w:val="24"/>
          <w:highlight w:val="none"/>
        </w:rPr>
        <w:t>【立法目的】</w:t>
      </w:r>
      <w:r>
        <w:rPr>
          <w:rFonts w:hint="eastAsia"/>
          <w:highlight w:val="none"/>
        </w:rPr>
        <w:t>为有力、有序、有效推进本市城市更新行动，促进城市结构优化、功能完善、文脉赓续、品质提升，建设创新、宜居、美丽、韧性、文明、智慧的现代化人民城市，根据有关法律、法规，结合本市实际，制定本条例。</w:t>
      </w:r>
    </w:p>
    <w:p w14:paraId="1042B550">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第二条</w:t>
      </w:r>
      <w:r>
        <w:rPr>
          <w:rStyle w:val="47"/>
          <w:rFonts w:hint="eastAsia"/>
          <w:sz w:val="24"/>
          <w:szCs w:val="24"/>
          <w:highlight w:val="none"/>
        </w:rPr>
        <w:t>【适用范围】</w:t>
      </w:r>
      <w:r>
        <w:rPr>
          <w:rFonts w:hint="eastAsia"/>
          <w:highlight w:val="none"/>
        </w:rPr>
        <w:t>本条例适用于本市行政区域内的城市更新及其监督管理。</w:t>
      </w:r>
    </w:p>
    <w:p w14:paraId="37CDF855">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第三条</w:t>
      </w:r>
      <w:r>
        <w:rPr>
          <w:rStyle w:val="47"/>
          <w:rFonts w:hint="eastAsia"/>
          <w:sz w:val="24"/>
          <w:szCs w:val="24"/>
          <w:highlight w:val="none"/>
        </w:rPr>
        <w:t>【基本定义】</w:t>
      </w:r>
      <w:r>
        <w:rPr>
          <w:rFonts w:hint="eastAsia"/>
          <w:highlight w:val="none"/>
        </w:rPr>
        <w:t>本条例所称城市更新，是指在本市城镇开发边界内开展持续改善城市空间形态和功能的活动，具体包括：</w:t>
      </w:r>
    </w:p>
    <w:p w14:paraId="3807CB78">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highlight w:val="none"/>
        </w:rPr>
        <w:t>（一）以改善城中村、老旧小区、危旧房屋等居住品质为主的居住类城市更新；</w:t>
      </w:r>
    </w:p>
    <w:p w14:paraId="7306FF47">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highlight w:val="none"/>
        </w:rPr>
        <w:t>（二）以推动老旧厂区、老旧</w:t>
      </w:r>
      <w:r>
        <w:rPr>
          <w:rFonts w:hint="eastAsia"/>
          <w:highlight w:val="none"/>
        </w:rPr>
        <w:t>商业</w:t>
      </w:r>
      <w:r>
        <w:rPr>
          <w:highlight w:val="none"/>
        </w:rPr>
        <w:t>区</w:t>
      </w:r>
      <w:r>
        <w:rPr>
          <w:rFonts w:hint="eastAsia"/>
          <w:highlight w:val="none"/>
        </w:rPr>
        <w:t>和传统商业设施、低效产业园区、</w:t>
      </w:r>
      <w:r>
        <w:rPr>
          <w:highlight w:val="none"/>
        </w:rPr>
        <w:t>老旧商务楼宇等转型提质为主的产业类城市更新；</w:t>
      </w:r>
    </w:p>
    <w:p w14:paraId="36DE1FFF">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highlight w:val="none"/>
        </w:rPr>
        <w:t>（三）以完善</w:t>
      </w:r>
      <w:r>
        <w:rPr>
          <w:rFonts w:hint="eastAsia"/>
          <w:highlight w:val="none"/>
        </w:rPr>
        <w:t>城市基础设施、公共服务设施</w:t>
      </w:r>
      <w:r>
        <w:rPr>
          <w:highlight w:val="none"/>
        </w:rPr>
        <w:t>等补齐短板</w:t>
      </w:r>
      <w:r>
        <w:rPr>
          <w:rFonts w:hint="eastAsia"/>
          <w:highlight w:val="none"/>
        </w:rPr>
        <w:t>、增强韧性、提升城市功能</w:t>
      </w:r>
      <w:r>
        <w:rPr>
          <w:highlight w:val="none"/>
        </w:rPr>
        <w:t>为主的设施类城市更新；</w:t>
      </w:r>
    </w:p>
    <w:p w14:paraId="305745BA">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highlight w:val="none"/>
        </w:rPr>
        <w:t>（四）以加强</w:t>
      </w:r>
      <w:r>
        <w:rPr>
          <w:rFonts w:hint="eastAsia"/>
          <w:highlight w:val="none"/>
        </w:rPr>
        <w:t>历史文化街区、不可移动文物、历史建筑、传统风貌建筑、工业遗存等文化遗产保护利用、彰显历史文化名城特色为主的历史文化类城市更新；</w:t>
      </w:r>
    </w:p>
    <w:p w14:paraId="1EF977B7">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highlight w:val="none"/>
        </w:rPr>
        <w:t>（五）以提升滨水</w:t>
      </w:r>
      <w:r>
        <w:rPr>
          <w:rFonts w:hint="eastAsia"/>
          <w:highlight w:val="none"/>
        </w:rPr>
        <w:t>、山体、廊道、公园</w:t>
      </w:r>
      <w:r>
        <w:rPr>
          <w:highlight w:val="none"/>
        </w:rPr>
        <w:t>等</w:t>
      </w:r>
      <w:r>
        <w:rPr>
          <w:rFonts w:hint="eastAsia"/>
          <w:highlight w:val="none"/>
        </w:rPr>
        <w:t>开敞空间</w:t>
      </w:r>
      <w:r>
        <w:rPr>
          <w:highlight w:val="none"/>
        </w:rPr>
        <w:t>环境品质</w:t>
      </w:r>
      <w:r>
        <w:rPr>
          <w:rFonts w:hint="eastAsia"/>
          <w:highlight w:val="none"/>
        </w:rPr>
        <w:t>和生态修复</w:t>
      </w:r>
      <w:r>
        <w:rPr>
          <w:highlight w:val="none"/>
        </w:rPr>
        <w:t>为主的</w:t>
      </w:r>
      <w:r>
        <w:rPr>
          <w:rFonts w:hint="eastAsia"/>
          <w:highlight w:val="none"/>
        </w:rPr>
        <w:t>生态环境</w:t>
      </w:r>
      <w:r>
        <w:rPr>
          <w:highlight w:val="none"/>
        </w:rPr>
        <w:t>类城市更新；</w:t>
      </w:r>
    </w:p>
    <w:p w14:paraId="70FD7895">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highlight w:val="none"/>
        </w:rPr>
        <w:t>（六）以优化存量资源配置、城市功能布局等实现片区可持续发展为主的区域综合类城市更新；</w:t>
      </w:r>
    </w:p>
    <w:p w14:paraId="4E513CC0">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highlight w:val="none"/>
        </w:rPr>
        <w:t>（七）市人民政府认定的其他城市更新。</w:t>
      </w:r>
    </w:p>
    <w:p w14:paraId="66B2F9F8">
      <w:pPr>
        <w:keepNext w:val="0"/>
        <w:keepLines w:val="0"/>
        <w:pageBreakBefore w:val="0"/>
        <w:kinsoku/>
        <w:wordWrap/>
        <w:overflowPunct/>
        <w:topLinePunct w:val="0"/>
        <w:autoSpaceDE/>
        <w:autoSpaceDN/>
        <w:bidi w:val="0"/>
        <w:adjustRightInd/>
        <w:snapToGrid/>
        <w:spacing w:line="560" w:lineRule="exact"/>
        <w:ind w:firstLine="640"/>
        <w:textAlignment w:val="auto"/>
        <w:rPr>
          <w:color w:val="0000FF"/>
          <w:highlight w:val="none"/>
        </w:rPr>
      </w:pPr>
      <w:r>
        <w:rPr>
          <w:rFonts w:hint="eastAsia" w:ascii="黑体" w:hAnsi="黑体" w:eastAsia="黑体"/>
          <w:color w:val="000000" w:themeColor="text1"/>
          <w:szCs w:val="32"/>
          <w:highlight w:val="none"/>
          <w14:textFill>
            <w14:solidFill>
              <w14:schemeClr w14:val="tx1"/>
            </w14:solidFill>
          </w14:textFill>
        </w:rPr>
        <w:t>第四条</w:t>
      </w:r>
      <w:r>
        <w:rPr>
          <w:rStyle w:val="47"/>
          <w:rFonts w:hint="eastAsia"/>
          <w:sz w:val="24"/>
          <w:szCs w:val="24"/>
          <w:highlight w:val="none"/>
        </w:rPr>
        <w:t>【立法原则】</w:t>
      </w:r>
      <w:r>
        <w:rPr>
          <w:rFonts w:hint="eastAsia"/>
          <w:highlight w:val="none"/>
        </w:rPr>
        <w:t>本市城市更新，坚持以人民为中心，全面践行人民城市理念，遵循规划统筹、体检先行，政府引导、市场运作，公众参与、共建共享，保护传承、彰显特色，科技引领、产城融合的原则。</w:t>
      </w:r>
    </w:p>
    <w:p w14:paraId="10707683">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第五条</w:t>
      </w:r>
      <w:r>
        <w:rPr>
          <w:rStyle w:val="47"/>
          <w:rFonts w:hint="eastAsia"/>
          <w:sz w:val="24"/>
          <w:szCs w:val="24"/>
          <w:highlight w:val="none"/>
        </w:rPr>
        <w:t>【政府职责】</w:t>
      </w:r>
      <w:r>
        <w:rPr>
          <w:rFonts w:hint="eastAsia"/>
          <w:highlight w:val="none"/>
        </w:rPr>
        <w:t>市人民政府应当加强对城市更新工作的统筹、指导，将城市更新工作纳入国民经济和社会发展规划，建立和完善城市更新协调推进机制，研究、审议城市更新相关重大事项。</w:t>
      </w:r>
    </w:p>
    <w:p w14:paraId="4FAE8352">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区（市）人民政府负责组织推进本行政区域城市更新工作，对城市更新实施监督管理。</w:t>
      </w:r>
    </w:p>
    <w:p w14:paraId="1261F0D2">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街道办事处、镇人民政府按照职责做好城市更新相关工作。</w:t>
      </w:r>
    </w:p>
    <w:p w14:paraId="173E5124">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居民委员会、村民委员会协助做好城市更新相关工作。</w:t>
      </w:r>
    </w:p>
    <w:p w14:paraId="7AA15F09">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第六条</w:t>
      </w:r>
      <w:r>
        <w:rPr>
          <w:rStyle w:val="47"/>
          <w:rFonts w:hint="eastAsia"/>
          <w:sz w:val="24"/>
          <w:szCs w:val="24"/>
          <w:highlight w:val="none"/>
        </w:rPr>
        <w:t>【部门职责】</w:t>
      </w:r>
      <w:r>
        <w:rPr>
          <w:rFonts w:hint="eastAsia"/>
          <w:highlight w:val="none"/>
        </w:rPr>
        <w:t>住房城乡建设部门是城市更新工作主管部门，负责综合协调、指导、监督城市更新实施工作。</w:t>
      </w:r>
    </w:p>
    <w:p w14:paraId="01571C7E">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自然资源和规划部门负责国土空间规划、土地管理、不动产登记等工作，依法制定相关配套政策、标准规范，协同推进城市更新。</w:t>
      </w:r>
    </w:p>
    <w:p w14:paraId="1296F8EA">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发展改革部门协同推进城市更新项目谋划、储备和遴选工作，负责将符合条件的城市更新项目纳入重点项目管理，支持、协助城市更新项目争取政策性资金。</w:t>
      </w:r>
    </w:p>
    <w:p w14:paraId="339244A1">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财政部门负责做好城市更新财政资金的筹集、拨付和监督等各项工作。</w:t>
      </w:r>
    </w:p>
    <w:p w14:paraId="7438D08D">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行政审批服务部门负责优化城市更新项目审批服务流程，建立审批服务协同机制，推动城市更新项目高效实施。</w:t>
      </w:r>
    </w:p>
    <w:p w14:paraId="5201BDB1">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教育、工业和信息化、公安、民政、生态环境、城市管理、交通运输、水务管理、园林和林业、商务、文化和旅游、卫生健康、应急管理、国有资产管理、体育、金融监管、大数据、税务、消防救援等部门，按各自职责做好城市更新相关工作。</w:t>
      </w:r>
    </w:p>
    <w:p w14:paraId="087DF6F6">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各部门应当根据城市更新实际需求，及时制定和完善城市更新政策、标准规范。</w:t>
      </w:r>
    </w:p>
    <w:p w14:paraId="2E3421D4">
      <w:pPr>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第七条</w:t>
      </w:r>
      <w:r>
        <w:rPr>
          <w:rStyle w:val="47"/>
          <w:rFonts w:hint="eastAsia"/>
          <w:sz w:val="24"/>
          <w:szCs w:val="24"/>
          <w:highlight w:val="none"/>
        </w:rPr>
        <w:t>【专家委员会】</w:t>
      </w:r>
      <w:r>
        <w:rPr>
          <w:rFonts w:hint="eastAsia"/>
          <w:color w:val="000000" w:themeColor="text1"/>
          <w:szCs w:val="32"/>
          <w:highlight w:val="none"/>
          <w14:textFill>
            <w14:solidFill>
              <w14:schemeClr w14:val="tx1"/>
            </w14:solidFill>
          </w14:textFill>
        </w:rPr>
        <w:t>本市设立城市更新专家委员会，为市、区（市）人民政府的城市更新决策提供咨询意见。</w:t>
      </w:r>
    </w:p>
    <w:p w14:paraId="372892CB">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第八条</w:t>
      </w:r>
      <w:r>
        <w:rPr>
          <w:rStyle w:val="47"/>
          <w:rFonts w:hint="eastAsia"/>
          <w:sz w:val="24"/>
          <w:szCs w:val="24"/>
          <w:highlight w:val="none"/>
        </w:rPr>
        <w:t>【社会参与】</w:t>
      </w:r>
      <w:r>
        <w:rPr>
          <w:rFonts w:hint="eastAsia"/>
          <w:highlight w:val="none"/>
        </w:rPr>
        <w:t>本市建立健全城市更新公众参与机制，畅通公众意见表达渠道，依法保障公众在城市更新中的知情权、参与权、表达权和监督权。</w:t>
      </w:r>
    </w:p>
    <w:p w14:paraId="75CFF81E">
      <w:pPr>
        <w:keepNext w:val="0"/>
        <w:keepLines w:val="0"/>
        <w:pageBreakBefore w:val="0"/>
        <w:kinsoku/>
        <w:wordWrap/>
        <w:overflowPunct/>
        <w:topLinePunct w:val="0"/>
        <w:autoSpaceDE/>
        <w:autoSpaceDN/>
        <w:bidi w:val="0"/>
        <w:adjustRightInd/>
        <w:snapToGrid/>
        <w:spacing w:line="560" w:lineRule="exact"/>
        <w:ind w:firstLine="640"/>
        <w:jc w:val="left"/>
        <w:textAlignment w:val="auto"/>
        <w:rPr>
          <w:highlight w:val="none"/>
        </w:rPr>
      </w:pPr>
      <w:r>
        <w:rPr>
          <w:rFonts w:hint="eastAsia"/>
          <w:highlight w:val="none"/>
        </w:rPr>
        <w:t>不动产所有权人、合法建造或者依法取得不动产但尚未办理不动产登记的单位和个人、承担城市公共空间和设施建设管理责任的单位等物业权利人应当依法开展城市更新，有权提出城市更新需求和建议，自主或者委托实施更新，并依法承担配合开展城市更新现状调查、意愿征询等义务。</w:t>
      </w:r>
    </w:p>
    <w:p w14:paraId="339255F7">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鼓励市场主体参与投资、建设、运营城市更新项目。支持多领域专业力量和服务机构参与城市更新。</w:t>
      </w:r>
    </w:p>
    <w:p w14:paraId="4DDA9AE8">
      <w:pPr>
        <w:keepNext w:val="0"/>
        <w:keepLines w:val="0"/>
        <w:pageBreakBefore w:val="0"/>
        <w:widowControl/>
        <w:kinsoku/>
        <w:wordWrap/>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ascii="黑体" w:hAnsi="黑体" w:eastAsia="黑体" w:cs="黑体"/>
          <w:color w:val="000000" w:themeColor="text1"/>
          <w:szCs w:val="32"/>
          <w:highlight w:val="none"/>
          <w14:textFill>
            <w14:solidFill>
              <w14:schemeClr w14:val="tx1"/>
            </w14:solidFill>
          </w14:textFill>
        </w:rPr>
        <w:t>第九条</w:t>
      </w:r>
      <w:r>
        <w:rPr>
          <w:rStyle w:val="47"/>
          <w:rFonts w:hint="eastAsia"/>
          <w:sz w:val="24"/>
          <w:szCs w:val="24"/>
          <w:highlight w:val="none"/>
        </w:rPr>
        <w:t>【房地产业与建筑业】</w:t>
      </w:r>
      <w:r>
        <w:rPr>
          <w:rFonts w:hint="eastAsia"/>
          <w:color w:val="000000" w:themeColor="text1"/>
          <w:szCs w:val="32"/>
          <w:highlight w:val="none"/>
          <w14:textFill>
            <w14:solidFill>
              <w14:schemeClr w14:val="tx1"/>
            </w14:solidFill>
          </w14:textFill>
        </w:rPr>
        <w:t>城市更新应当与构建房地产新模式和建筑业转型相衔接，发展建筑工业化、数字化、绿色化。</w:t>
      </w:r>
    </w:p>
    <w:p w14:paraId="4ADBDB07">
      <w:pPr>
        <w:pStyle w:val="3"/>
        <w:keepNext w:val="0"/>
        <w:keepLines w:val="0"/>
        <w:pageBreakBefore w:val="0"/>
        <w:kinsoku/>
        <w:wordWrap/>
        <w:overflowPunct/>
        <w:topLinePunct w:val="0"/>
        <w:autoSpaceDE/>
        <w:autoSpaceDN/>
        <w:bidi w:val="0"/>
        <w:adjustRightInd/>
        <w:snapToGrid/>
        <w:spacing w:line="560" w:lineRule="exact"/>
        <w:textAlignment w:val="auto"/>
        <w:rPr>
          <w:highlight w:val="none"/>
        </w:rPr>
      </w:pPr>
      <w:r>
        <w:rPr>
          <w:rFonts w:hint="eastAsia"/>
          <w:highlight w:val="none"/>
        </w:rPr>
        <w:t>第二章  城市更新规划和计划</w:t>
      </w:r>
    </w:p>
    <w:p w14:paraId="652F885D">
      <w:pPr>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Style w:val="23"/>
          <w:rFonts w:hint="eastAsia"/>
          <w:highlight w:val="none"/>
        </w:rPr>
        <w:t>第十条</w:t>
      </w:r>
      <w:r>
        <w:rPr>
          <w:rStyle w:val="47"/>
          <w:rFonts w:hint="eastAsia"/>
          <w:sz w:val="24"/>
          <w:szCs w:val="24"/>
          <w:highlight w:val="none"/>
        </w:rPr>
        <w:t>【城市体检】</w:t>
      </w:r>
      <w:r>
        <w:rPr>
          <w:rFonts w:hint="eastAsia"/>
          <w:color w:val="000000" w:themeColor="text1"/>
          <w:szCs w:val="32"/>
          <w:highlight w:val="none"/>
          <w14:textFill>
            <w14:solidFill>
              <w14:schemeClr w14:val="tx1"/>
            </w14:solidFill>
          </w14:textFill>
        </w:rPr>
        <w:t>市人民政府应当建立城市体检评估制度，定期组织开展城市体检评估。城市体检评估结果应当作为编制城市更新相关规划和计划、划定城市更新片区的重要依据。</w:t>
      </w:r>
    </w:p>
    <w:p w14:paraId="68BCA36D">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第十一条</w:t>
      </w:r>
      <w:r>
        <w:rPr>
          <w:rStyle w:val="47"/>
          <w:sz w:val="24"/>
          <w:szCs w:val="24"/>
          <w:highlight w:val="none"/>
        </w:rPr>
        <w:t>【规划编制】</w:t>
      </w:r>
      <w:r>
        <w:rPr>
          <w:rFonts w:hint="eastAsia"/>
          <w:highlight w:val="none"/>
        </w:rPr>
        <w:t>市城市更新主管部门应当会同相关部门、区（市）人民政府编制城市更新专</w:t>
      </w:r>
      <w:r>
        <w:rPr>
          <w:rFonts w:hint="eastAsia"/>
          <w:color w:val="000000" w:themeColor="text1"/>
          <w:szCs w:val="32"/>
          <w:highlight w:val="none"/>
          <w14:textFill>
            <w14:solidFill>
              <w14:schemeClr w14:val="tx1"/>
            </w14:solidFill>
          </w14:textFill>
        </w:rPr>
        <w:t>项规划和实施计划，报</w:t>
      </w:r>
      <w:r>
        <w:rPr>
          <w:rFonts w:hint="eastAsia"/>
          <w:highlight w:val="none"/>
        </w:rPr>
        <w:t>市人民政府批准后实施，并实行动态评估与适时修编。</w:t>
      </w:r>
    </w:p>
    <w:p w14:paraId="369EB065">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城市更新专项规划应当符合国土空间总体规划，并与相关专项规划、控制性详细规划相衔接，充分征求专家、社会公众和有关部门意见。</w:t>
      </w:r>
    </w:p>
    <w:p w14:paraId="490DA253">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城市更新实施计划应当明确城市更新的行动目标、重点任务、重点项目、更新片区、更新策略等内容。</w:t>
      </w:r>
    </w:p>
    <w:p w14:paraId="3AB2A4DF">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第十二条</w:t>
      </w:r>
      <w:r>
        <w:rPr>
          <w:rStyle w:val="47"/>
          <w:sz w:val="24"/>
          <w:szCs w:val="24"/>
          <w:highlight w:val="none"/>
        </w:rPr>
        <w:t>【片区划定】</w:t>
      </w:r>
      <w:r>
        <w:rPr>
          <w:rFonts w:hint="eastAsia"/>
          <w:highlight w:val="none"/>
        </w:rPr>
        <w:t>划定城市更新片区应当综合考虑规划要求、空间布局、功能定位、产权边界、文化遗产保护等因素，并与控规单元做好衔接。</w:t>
      </w:r>
    </w:p>
    <w:p w14:paraId="0B062C27">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区（市）人民政府可结合城市更新实际需要，提出城市更新片区调整建议，经市城市更新主管部门同意后，纳入城市更新实施计划。</w:t>
      </w:r>
    </w:p>
    <w:p w14:paraId="28E6F125">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第十三条</w:t>
      </w:r>
      <w:r>
        <w:rPr>
          <w:rStyle w:val="47"/>
          <w:rFonts w:hint="eastAsia"/>
          <w:sz w:val="24"/>
          <w:szCs w:val="24"/>
          <w:highlight w:val="none"/>
        </w:rPr>
        <w:t>【片区策划】</w:t>
      </w:r>
      <w:r>
        <w:rPr>
          <w:rFonts w:hint="eastAsia"/>
          <w:highlight w:val="none"/>
        </w:rPr>
        <w:t>区（市）人民政府应当根据实际确定片区策划方案编制主体，开展片区策划方案编制。</w:t>
      </w:r>
    </w:p>
    <w:p w14:paraId="1C87F610">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片区策划方案编制中应当征询相关物业权利人的更新意愿，统筹考虑区域发展定位、存量资源、公共要素、空间布局、历史文化传承等因素，衔接控制性详细规划，明确片区更新目标、规划指标、建设项目、实施计划、资金平衡和保障措施。</w:t>
      </w:r>
    </w:p>
    <w:p w14:paraId="06D5F1F5">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编制片区策划方案应当充分征询市城市更新主管部门、行业管理部门、专家委员会和社会公众的意见。</w:t>
      </w:r>
    </w:p>
    <w:p w14:paraId="7F97270C">
      <w:pPr>
        <w:keepNext w:val="0"/>
        <w:keepLines w:val="0"/>
        <w:pageBreakBefore w:val="0"/>
        <w:kinsoku/>
        <w:wordWrap/>
        <w:overflowPunct/>
        <w:topLinePunct w:val="0"/>
        <w:autoSpaceDE/>
        <w:autoSpaceDN/>
        <w:bidi w:val="0"/>
        <w:adjustRightInd/>
        <w:snapToGrid/>
        <w:spacing w:line="560" w:lineRule="exact"/>
        <w:ind w:firstLine="640"/>
        <w:textAlignment w:val="auto"/>
        <w:rPr>
          <w:sz w:val="36"/>
          <w:szCs w:val="24"/>
          <w:highlight w:val="none"/>
        </w:rPr>
      </w:pPr>
      <w:r>
        <w:rPr>
          <w:rFonts w:hint="eastAsia"/>
          <w:highlight w:val="none"/>
        </w:rPr>
        <w:t>编制片区策划方案前应当开展片区级城市体检，片区体检内容应包括综合评价片区发展状况，预先组织历史文化资源调查并依法采取保护措施，梳理权利人多方利益诉求，摸清存量资源底数。</w:t>
      </w:r>
    </w:p>
    <w:p w14:paraId="03C3106C">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第十四条</w:t>
      </w:r>
      <w:r>
        <w:rPr>
          <w:rStyle w:val="47"/>
          <w:rFonts w:hint="eastAsia"/>
          <w:sz w:val="24"/>
          <w:szCs w:val="24"/>
          <w:highlight w:val="none"/>
        </w:rPr>
        <w:t>【片区策划审定及应用】</w:t>
      </w:r>
      <w:r>
        <w:rPr>
          <w:rFonts w:hint="eastAsia"/>
          <w:color w:val="000000" w:themeColor="text1"/>
          <w:szCs w:val="32"/>
          <w:highlight w:val="none"/>
          <w14:textFill>
            <w14:solidFill>
              <w14:schemeClr w14:val="tx1"/>
            </w14:solidFill>
          </w14:textFill>
        </w:rPr>
        <w:t>片区策划方案经区（市）人民政府审定。片区策划方案涉及控制性详细规划调整的，应按程序报市国土空间规划委员会审议。</w:t>
      </w:r>
    </w:p>
    <w:p w14:paraId="61040D4F">
      <w:pPr>
        <w:shd w:val="clear"/>
        <w:ind w:firstLine="640"/>
        <w:rPr>
          <w:rFonts w:hint="eastAsia"/>
          <w:color w:val="000000" w:themeColor="text1"/>
          <w:szCs w:val="32"/>
          <w:highlight w:val="none"/>
          <w14:textFill>
            <w14:solidFill>
              <w14:schemeClr w14:val="tx1"/>
            </w14:solidFill>
          </w14:textFill>
        </w:rPr>
      </w:pPr>
      <w:r>
        <w:rPr>
          <w:rStyle w:val="47"/>
          <w:rFonts w:hint="eastAsia"/>
          <w:highlight w:val="none"/>
        </w:rPr>
        <w:t>第十</w:t>
      </w:r>
      <w:r>
        <w:rPr>
          <w:rStyle w:val="47"/>
          <w:rFonts w:hint="eastAsia" w:eastAsia="黑体"/>
          <w:highlight w:val="none"/>
          <w:lang w:val="en-US" w:eastAsia="zh-CN"/>
        </w:rPr>
        <w:t>五</w:t>
      </w:r>
      <w:r>
        <w:rPr>
          <w:rStyle w:val="47"/>
          <w:rFonts w:hint="eastAsia"/>
          <w:highlight w:val="none"/>
        </w:rPr>
        <w:t>条</w:t>
      </w:r>
      <w:r>
        <w:rPr>
          <w:rStyle w:val="47"/>
          <w:rFonts w:hint="eastAsia"/>
          <w:sz w:val="24"/>
          <w:szCs w:val="24"/>
          <w:highlight w:val="none"/>
        </w:rPr>
        <w:t>【项目库】</w:t>
      </w:r>
      <w:r>
        <w:rPr>
          <w:rFonts w:hint="eastAsia"/>
          <w:color w:val="000000" w:themeColor="text1"/>
          <w:szCs w:val="32"/>
          <w:highlight w:val="none"/>
          <w:lang w:eastAsia="zh-CN"/>
          <w14:textFill>
            <w14:solidFill>
              <w14:schemeClr w14:val="tx1"/>
            </w14:solidFill>
          </w14:textFill>
        </w:rPr>
        <w:t>本市建立全市统一的城市更新项目库。市城市更新主管部门应当建立入库、出库和绩效评价机制，并做好政策指导工作。市有关行业主管部门和区（市）</w:t>
      </w:r>
      <w:r>
        <w:rPr>
          <w:rFonts w:hint="eastAsia"/>
          <w:color w:val="000000" w:themeColor="text1"/>
          <w:szCs w:val="32"/>
          <w:highlight w:val="none"/>
          <w:lang w:val="en-US" w:eastAsia="zh-CN"/>
          <w14:textFill>
            <w14:solidFill>
              <w14:schemeClr w14:val="tx1"/>
            </w14:solidFill>
          </w14:textFill>
        </w:rPr>
        <w:t>人民政府</w:t>
      </w:r>
      <w:r>
        <w:rPr>
          <w:rFonts w:hint="eastAsia"/>
          <w:color w:val="000000" w:themeColor="text1"/>
          <w:szCs w:val="32"/>
          <w:highlight w:val="none"/>
          <w:lang w:eastAsia="zh-CN"/>
          <w14:textFill>
            <w14:solidFill>
              <w14:schemeClr w14:val="tx1"/>
            </w14:solidFill>
          </w14:textFill>
        </w:rPr>
        <w:t>应当按照职责分工，将具备实施条件的项目及时纳入城市更新项目库管理，负责在库项目的协调推进。在库项目按照国家、省、市有关规定享受城市更新相关支持政策。</w:t>
      </w:r>
    </w:p>
    <w:p w14:paraId="696E79D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Style w:val="47"/>
          <w:rFonts w:hint="eastAsia"/>
          <w:highlight w:val="none"/>
        </w:rPr>
        <w:t>第十六条</w:t>
      </w:r>
      <w:r>
        <w:rPr>
          <w:rStyle w:val="47"/>
          <w:rFonts w:hint="eastAsia"/>
          <w:sz w:val="24"/>
          <w:szCs w:val="24"/>
          <w:highlight w:val="none"/>
        </w:rPr>
        <w:t>【更新年度工作方案】</w:t>
      </w:r>
      <w:r>
        <w:rPr>
          <w:rFonts w:hint="eastAsia"/>
          <w:color w:val="000000" w:themeColor="text1"/>
          <w:szCs w:val="32"/>
          <w:highlight w:val="none"/>
          <w14:textFill>
            <w14:solidFill>
              <w14:schemeClr w14:val="tx1"/>
            </w14:solidFill>
          </w14:textFill>
        </w:rPr>
        <w:t>区（市）人民政府应当制定本行政区城市更新年度工作方案，明确城市更新片区（项目）的实施时序和目标任务，并提出相关保障措施。</w:t>
      </w:r>
    </w:p>
    <w:p w14:paraId="6E7ED9A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color w:val="000000" w:themeColor="text1"/>
          <w:szCs w:val="32"/>
          <w:highlight w:val="none"/>
          <w14:textFill>
            <w14:solidFill>
              <w14:schemeClr w14:val="tx1"/>
            </w14:solidFill>
          </w14:textFill>
        </w:rPr>
        <w:t>区（市）城市更新年度工作方案应与市级</w:t>
      </w:r>
      <w:r>
        <w:rPr>
          <w:rFonts w:hint="eastAsia"/>
          <w:color w:val="000000" w:themeColor="text1"/>
          <w:szCs w:val="32"/>
          <w:highlight w:val="none"/>
          <w:lang w:val="en-US" w:eastAsia="zh-CN"/>
          <w14:textFill>
            <w14:solidFill>
              <w14:schemeClr w14:val="tx1"/>
            </w14:solidFill>
          </w14:textFill>
        </w:rPr>
        <w:t>承担的</w:t>
      </w:r>
      <w:r>
        <w:rPr>
          <w:rFonts w:hint="eastAsia"/>
          <w:color w:val="000000" w:themeColor="text1"/>
          <w:szCs w:val="32"/>
          <w:highlight w:val="none"/>
          <w14:textFill>
            <w14:solidFill>
              <w14:schemeClr w14:val="tx1"/>
            </w14:solidFill>
          </w14:textFill>
        </w:rPr>
        <w:t>城市更新项目相衔接。</w:t>
      </w:r>
    </w:p>
    <w:p w14:paraId="2C0CF269">
      <w:pPr>
        <w:pStyle w:val="3"/>
        <w:keepNext w:val="0"/>
        <w:keepLines w:val="0"/>
        <w:pageBreakBefore w:val="0"/>
        <w:kinsoku/>
        <w:wordWrap/>
        <w:overflowPunct/>
        <w:topLinePunct w:val="0"/>
        <w:autoSpaceDE/>
        <w:autoSpaceDN/>
        <w:bidi w:val="0"/>
        <w:adjustRightInd/>
        <w:snapToGrid/>
        <w:spacing w:line="560" w:lineRule="exact"/>
        <w:textAlignment w:val="auto"/>
        <w:rPr>
          <w:highlight w:val="none"/>
        </w:rPr>
      </w:pPr>
      <w:r>
        <w:rPr>
          <w:rFonts w:hint="eastAsia"/>
          <w:highlight w:val="none"/>
        </w:rPr>
        <w:t>第三章 城市更新实施</w:t>
      </w:r>
    </w:p>
    <w:p w14:paraId="22903F88">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szCs w:val="28"/>
          <w:highlight w:val="none"/>
        </w:rPr>
        <w:t>第十</w:t>
      </w:r>
      <w:r>
        <w:rPr>
          <w:rStyle w:val="47"/>
          <w:rFonts w:hint="eastAsia"/>
          <w:highlight w:val="none"/>
        </w:rPr>
        <w:t>七</w:t>
      </w:r>
      <w:r>
        <w:rPr>
          <w:rStyle w:val="47"/>
          <w:szCs w:val="28"/>
          <w:highlight w:val="none"/>
        </w:rPr>
        <w:t>条</w:t>
      </w:r>
      <w:r>
        <w:rPr>
          <w:rStyle w:val="47"/>
          <w:rFonts w:hint="eastAsia"/>
          <w:sz w:val="24"/>
          <w:szCs w:val="24"/>
          <w:highlight w:val="none"/>
        </w:rPr>
        <w:t>【实施主体确定】</w:t>
      </w:r>
      <w:r>
        <w:rPr>
          <w:rFonts w:hint="eastAsia"/>
          <w:highlight w:val="none"/>
        </w:rPr>
        <w:t>城市更新项目应当按照以下规定确定实施主体：</w:t>
      </w:r>
    </w:p>
    <w:p w14:paraId="5574455F">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（一）涉及单一物业权利人的，物业权利人自行确定实施主体。涉及多个物业权利人的，协商一致后共同确定实施主体；无法协商一致，涉及物业权利人共同决定事项的，由物业权利人依法表决确定实施主体。</w:t>
      </w:r>
    </w:p>
    <w:p w14:paraId="4550B898">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（二）因维护公共安全、公共利益需要实施的城市更新项目，市、区（市）人民政府应当按照公开、公平、公正的原则，依法确定城市更新项目实施主体。</w:t>
      </w:r>
    </w:p>
    <w:p w14:paraId="14A28121">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第十八条</w:t>
      </w:r>
      <w:r>
        <w:rPr>
          <w:rStyle w:val="47"/>
          <w:rFonts w:hint="eastAsia"/>
          <w:sz w:val="24"/>
          <w:szCs w:val="24"/>
          <w:highlight w:val="none"/>
        </w:rPr>
        <w:t>【实施主体职责】</w:t>
      </w:r>
      <w:r>
        <w:rPr>
          <w:rFonts w:hint="eastAsia"/>
          <w:highlight w:val="none"/>
        </w:rPr>
        <w:t>实施主体按照有关规定和合同约定，具体负责城市更新项目前期策划、现状评估、方案编制、组织实施、后期运营等事项。</w:t>
      </w:r>
    </w:p>
    <w:p w14:paraId="59A750B8">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鼓励具备房地产开发、规划设计策划、建设运维、后期运营等能力的市场主体，作为实施主体依法参与城市更新活动，培育专业化实施主体。</w:t>
      </w:r>
    </w:p>
    <w:p w14:paraId="039127C9">
      <w:pPr>
        <w:keepNext w:val="0"/>
        <w:keepLines w:val="0"/>
        <w:pageBreakBefore w:val="0"/>
        <w:shd w:val="clear"/>
        <w:kinsoku/>
        <w:wordWrap/>
        <w:overflowPunct/>
        <w:topLinePunct w:val="0"/>
        <w:autoSpaceDE/>
        <w:autoSpaceDN/>
        <w:bidi w:val="0"/>
        <w:adjustRightInd/>
        <w:snapToGrid/>
        <w:spacing w:line="560" w:lineRule="exact"/>
        <w:ind w:firstLine="640"/>
        <w:textAlignment w:val="auto"/>
        <w:rPr>
          <w:rFonts w:hint="eastAsia"/>
          <w:highlight w:val="none"/>
        </w:rPr>
      </w:pPr>
      <w:r>
        <w:rPr>
          <w:rStyle w:val="47"/>
          <w:rFonts w:hint="eastAsia"/>
          <w:highlight w:val="none"/>
        </w:rPr>
        <w:t>第十九条</w:t>
      </w:r>
      <w:r>
        <w:rPr>
          <w:rStyle w:val="47"/>
          <w:rFonts w:hint="eastAsia"/>
          <w:sz w:val="24"/>
          <w:szCs w:val="24"/>
          <w:highlight w:val="none"/>
          <w:lang w:val="en-US" w:eastAsia="zh-CN" w:bidi="ar-SA"/>
        </w:rPr>
        <w:t xml:space="preserve">【实施主体统筹片区更新】 </w:t>
      </w:r>
      <w:r>
        <w:rPr>
          <w:rFonts w:hint="eastAsia"/>
          <w:highlight w:val="none"/>
        </w:rPr>
        <w:t>市、区（市）人民政府可根据需要，确定与区域范围内城市更新活动相适应的</w:t>
      </w:r>
      <w:r>
        <w:rPr>
          <w:rFonts w:hint="eastAsia"/>
          <w:highlight w:val="none"/>
          <w:lang w:val="en-US" w:eastAsia="zh-CN"/>
        </w:rPr>
        <w:t>实施</w:t>
      </w:r>
      <w:r>
        <w:rPr>
          <w:rFonts w:hint="eastAsia"/>
          <w:highlight w:val="none"/>
        </w:rPr>
        <w:t>主体统筹片区</w:t>
      </w:r>
      <w:r>
        <w:rPr>
          <w:rFonts w:hint="eastAsia"/>
          <w:highlight w:val="none"/>
          <w:lang w:val="en-US" w:eastAsia="zh-CN"/>
        </w:rPr>
        <w:t>城市</w:t>
      </w:r>
      <w:r>
        <w:rPr>
          <w:rFonts w:hint="eastAsia"/>
          <w:highlight w:val="none"/>
        </w:rPr>
        <w:t>更新相关工作。</w:t>
      </w:r>
    </w:p>
    <w:p w14:paraId="0065E15B">
      <w:pPr>
        <w:keepNext w:val="0"/>
        <w:keepLines w:val="0"/>
        <w:pageBreakBefore w:val="0"/>
        <w:shd w:val="clear"/>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鼓励符合条件的城市更新项目实施主体统筹片区</w:t>
      </w:r>
      <w:r>
        <w:rPr>
          <w:rFonts w:hint="eastAsia"/>
          <w:highlight w:val="none"/>
          <w:lang w:val="en-US" w:eastAsia="zh-CN"/>
        </w:rPr>
        <w:t>更新</w:t>
      </w:r>
      <w:r>
        <w:rPr>
          <w:rFonts w:hint="eastAsia"/>
          <w:highlight w:val="none"/>
          <w:lang w:eastAsia="zh-CN"/>
        </w:rPr>
        <w:t>。</w:t>
      </w:r>
      <w:r>
        <w:rPr>
          <w:rFonts w:hint="eastAsia"/>
          <w:highlight w:val="none"/>
        </w:rPr>
        <w:t>对超出原项目实施范围的统筹内容，涉及公益类服务设施</w:t>
      </w:r>
      <w:r>
        <w:rPr>
          <w:rFonts w:hint="eastAsia"/>
          <w:highlight w:val="none"/>
          <w:lang w:val="en-US" w:eastAsia="zh-CN"/>
        </w:rPr>
        <w:t>的，可</w:t>
      </w:r>
      <w:r>
        <w:rPr>
          <w:rFonts w:hint="eastAsia"/>
          <w:highlight w:val="none"/>
        </w:rPr>
        <w:t>优先争取政策资金支持</w:t>
      </w:r>
      <w:r>
        <w:rPr>
          <w:rFonts w:hint="eastAsia"/>
          <w:highlight w:val="none"/>
          <w:lang w:eastAsia="zh-CN"/>
        </w:rPr>
        <w:t>，</w:t>
      </w:r>
      <w:r>
        <w:rPr>
          <w:rFonts w:hint="eastAsia"/>
          <w:highlight w:val="none"/>
          <w:lang w:val="en-US" w:eastAsia="zh-CN"/>
        </w:rPr>
        <w:t>并应</w:t>
      </w:r>
      <w:r>
        <w:rPr>
          <w:rFonts w:hint="eastAsia"/>
          <w:highlight w:val="none"/>
        </w:rPr>
        <w:t>与物业权利人充分协商，通过书面形式明确权益分配等事项。</w:t>
      </w:r>
    </w:p>
    <w:p w14:paraId="0DF08988">
      <w:pPr>
        <w:keepNext w:val="0"/>
        <w:keepLines w:val="0"/>
        <w:pageBreakBefore w:val="0"/>
        <w:shd w:val="clear"/>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市、区（市）人民政府可根据需要，赋予统筹片区更新的实施主体参与规划编制、片区策划、实施土地前期准备、配合土地供应、统筹整体利益等相应职能。</w:t>
      </w:r>
    </w:p>
    <w:p w14:paraId="29AEB4E8">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第二十条</w:t>
      </w:r>
      <w:r>
        <w:rPr>
          <w:rStyle w:val="47"/>
          <w:rFonts w:hint="eastAsia"/>
          <w:sz w:val="24"/>
          <w:szCs w:val="24"/>
          <w:highlight w:val="none"/>
        </w:rPr>
        <w:t>【实施方案编制】</w:t>
      </w:r>
      <w:r>
        <w:rPr>
          <w:rFonts w:hint="eastAsia"/>
          <w:highlight w:val="none"/>
        </w:rPr>
        <w:t>实施主体应当以片区策划、控制性详细规划为依据，编制项目实施方案。项目实施方案应明确项目实施的基础条件、更新目标、更新方式、设计方案、资金测算、运营模式等，涉及文化遗产保护的，应当制定具体保护措施。</w:t>
      </w:r>
    </w:p>
    <w:p w14:paraId="33C488F8">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项目实施方案编制过程中，实施主体应当与更新范围内有关物业权利人进行协商，并征求利害关系人的意见。</w:t>
      </w:r>
    </w:p>
    <w:p w14:paraId="04C31670">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零星项目的物业权利人，可结合更新意愿编制项目实施方案。</w:t>
      </w:r>
    </w:p>
    <w:p w14:paraId="34DB4668">
      <w:pPr>
        <w:keepNext w:val="0"/>
        <w:keepLines w:val="0"/>
        <w:pageBreakBefore w:val="0"/>
        <w:kinsoku/>
        <w:wordWrap/>
        <w:overflowPunct/>
        <w:topLinePunct w:val="0"/>
        <w:autoSpaceDE/>
        <w:autoSpaceDN/>
        <w:bidi w:val="0"/>
        <w:adjustRightInd/>
        <w:snapToGrid/>
        <w:spacing w:line="560" w:lineRule="exact"/>
        <w:ind w:firstLine="640"/>
        <w:textAlignment w:val="auto"/>
        <w:rPr>
          <w:rStyle w:val="47"/>
          <w:highlight w:val="none"/>
        </w:rPr>
      </w:pPr>
      <w:r>
        <w:rPr>
          <w:rStyle w:val="47"/>
          <w:highlight w:val="none"/>
        </w:rPr>
        <w:t>第二十</w:t>
      </w:r>
      <w:r>
        <w:rPr>
          <w:rStyle w:val="47"/>
          <w:rFonts w:hint="eastAsia"/>
          <w:highlight w:val="none"/>
        </w:rPr>
        <w:t>一</w:t>
      </w:r>
      <w:r>
        <w:rPr>
          <w:rStyle w:val="47"/>
          <w:highlight w:val="none"/>
        </w:rPr>
        <w:t>条</w:t>
      </w:r>
      <w:r>
        <w:rPr>
          <w:rStyle w:val="47"/>
          <w:rFonts w:hint="eastAsia"/>
          <w:sz w:val="24"/>
          <w:szCs w:val="24"/>
          <w:highlight w:val="none"/>
        </w:rPr>
        <w:t>【实施方案审批】</w:t>
      </w:r>
      <w:r>
        <w:rPr>
          <w:rFonts w:hint="eastAsia"/>
          <w:highlight w:val="none"/>
        </w:rPr>
        <w:t>项目实施方案由区（市）人民政府审定。跨行政区域的，由市人民政府审定。</w:t>
      </w:r>
    </w:p>
    <w:p w14:paraId="56B3A97E">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第二十二条</w:t>
      </w:r>
      <w:r>
        <w:rPr>
          <w:rStyle w:val="47"/>
          <w:rFonts w:hint="eastAsia"/>
          <w:sz w:val="24"/>
          <w:szCs w:val="24"/>
          <w:highlight w:val="none"/>
        </w:rPr>
        <w:t>【居住类】</w:t>
      </w:r>
      <w:r>
        <w:rPr>
          <w:rFonts w:hint="eastAsia"/>
          <w:highlight w:val="none"/>
        </w:rPr>
        <w:t>实施居住类更新的，应当综合考虑物业权利人意愿、规划布局、安全隐患等因素，完善市政配套设施，维护建筑消防设施，加强公共卫生、无障碍、适老养老、幼儿教育服务、文化休闲、体育健身等公共服务设施建设和改造，完善居住功能，提高生活品质。</w:t>
      </w:r>
    </w:p>
    <w:p w14:paraId="26794E32">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实施危险住房改造更新的，应当按照有关规定以拆除新建、维修加固等方式进行更新。支持老旧住房自主更新原拆原建。</w:t>
      </w:r>
    </w:p>
    <w:p w14:paraId="3E64291B">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实施老旧小区整治改造的，应当与其周边区域连片统筹，推进完整社区建设。</w:t>
      </w:r>
    </w:p>
    <w:p w14:paraId="4967D985">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第二十三条</w:t>
      </w:r>
      <w:r>
        <w:rPr>
          <w:rStyle w:val="47"/>
          <w:rFonts w:hint="eastAsia"/>
          <w:sz w:val="24"/>
          <w:szCs w:val="24"/>
          <w:highlight w:val="none"/>
        </w:rPr>
        <w:t>【产业类】</w:t>
      </w:r>
      <w:r>
        <w:rPr>
          <w:rFonts w:hint="eastAsia"/>
          <w:highlight w:val="none"/>
        </w:rPr>
        <w:t>实施产业类更新的，应当合理确定功能和业态，完善公共服务，培育新兴产业，发展科创、文旅、康养等国家、省、市支持产业。</w:t>
      </w:r>
    </w:p>
    <w:p w14:paraId="15EB3F22">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实施老旧厂房改造的，应当注重工业遗产保护和活化利用；实施老旧商务楼宇、传统商业设施等更新的，应当加强存量房屋改造利用，推动建筑功能转换和混合使用。</w:t>
      </w:r>
    </w:p>
    <w:p w14:paraId="18FEF22E">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第二十四条</w:t>
      </w:r>
      <w:r>
        <w:rPr>
          <w:rStyle w:val="47"/>
          <w:rFonts w:hint="eastAsia"/>
          <w:sz w:val="24"/>
          <w:szCs w:val="24"/>
          <w:highlight w:val="none"/>
        </w:rPr>
        <w:t xml:space="preserve"> 【设施类】</w:t>
      </w:r>
      <w:r>
        <w:rPr>
          <w:rFonts w:hint="eastAsia"/>
          <w:highlight w:val="none"/>
        </w:rPr>
        <w:t>实施设施类更新的，应当完善市政基础、公共安全、公共服务等设施的供给体系，统筹新型城市基础设施布局，持续排查整治城市各类基础设施风险隐患，推进城市基础设施生命线工程建设，有条件的应同步开展智慧化改造。</w:t>
      </w:r>
    </w:p>
    <w:p w14:paraId="7D8B59FF">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完善城市交通网络，发展快速干线交通、生活性集散交通、绿色慢行交通和静态交通等。</w:t>
      </w:r>
    </w:p>
    <w:p w14:paraId="35264399">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实施城市道路改造更新，应当统筹实施交通安全、燃气、供热、供水、排水、供电、通信、综合管廊、路灯等设施建设。</w:t>
      </w:r>
    </w:p>
    <w:p w14:paraId="5A6A35CD">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单独实施地下管线改造更新，应当按要求纳入年度占掘路计划，与周边各类地下管线建设时序相统筹。</w:t>
      </w:r>
    </w:p>
    <w:p w14:paraId="0CC39D7C">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加强公共消防设施建设，适度超前建设防灾工程，提升城市火灾防控和应急救援能力。</w:t>
      </w:r>
    </w:p>
    <w:p w14:paraId="5F84998D">
      <w:pPr>
        <w:keepNext w:val="0"/>
        <w:keepLines w:val="0"/>
        <w:pageBreakBefore w:val="0"/>
        <w:kinsoku/>
        <w:wordWrap/>
        <w:overflowPunct/>
        <w:topLinePunct w:val="0"/>
        <w:autoSpaceDE/>
        <w:autoSpaceDN/>
        <w:bidi w:val="0"/>
        <w:adjustRightInd/>
        <w:snapToGrid/>
        <w:spacing w:line="560" w:lineRule="exact"/>
        <w:ind w:firstLine="640"/>
        <w:textAlignment w:val="auto"/>
        <w:rPr>
          <w:color w:val="FF0000"/>
          <w:szCs w:val="32"/>
          <w:highlight w:val="none"/>
        </w:rPr>
      </w:pPr>
      <w:r>
        <w:rPr>
          <w:rFonts w:hint="eastAsia" w:ascii="黑体" w:hAnsi="黑体" w:eastAsia="黑体"/>
          <w:color w:val="000000" w:themeColor="text1"/>
          <w:szCs w:val="32"/>
          <w:highlight w:val="none"/>
          <w14:textFill>
            <w14:solidFill>
              <w14:schemeClr w14:val="tx1"/>
            </w14:solidFill>
          </w14:textFill>
        </w:rPr>
        <w:t>第二十五条</w:t>
      </w:r>
      <w:r>
        <w:rPr>
          <w:rStyle w:val="47"/>
          <w:rFonts w:hint="eastAsia"/>
          <w:sz w:val="24"/>
          <w:szCs w:val="24"/>
          <w:highlight w:val="none"/>
        </w:rPr>
        <w:t>【历史文化类】</w:t>
      </w:r>
      <w:r>
        <w:rPr>
          <w:rFonts w:hint="eastAsia"/>
          <w:highlight w:val="none"/>
        </w:rPr>
        <w:t>实施历史文化类更新的，应当按照已批准的保护规划和相关法律、法规等对相关文化遗产进行保护利用，并注重补齐基础设施和公共服务设施短板、消除建筑安全隐患，将保护历史风貌与改善群众生活有机结合，提升整体环境品质、赓续城市历史文脉。</w:t>
      </w:r>
    </w:p>
    <w:p w14:paraId="4A20EDB5">
      <w:pPr>
        <w:keepNext w:val="0"/>
        <w:keepLines w:val="0"/>
        <w:pageBreakBefore w:val="0"/>
        <w:kinsoku/>
        <w:wordWrap/>
        <w:overflowPunct/>
        <w:topLinePunct w:val="0"/>
        <w:autoSpaceDE/>
        <w:autoSpaceDN/>
        <w:bidi w:val="0"/>
        <w:adjustRightInd/>
        <w:snapToGrid/>
        <w:spacing w:line="560" w:lineRule="exact"/>
        <w:ind w:firstLine="640"/>
        <w:textAlignment w:val="auto"/>
        <w:rPr>
          <w:color w:val="000000" w:themeColor="text1"/>
          <w:szCs w:val="32"/>
          <w:highlight w:val="none"/>
          <w14:textFill>
            <w14:solidFill>
              <w14:schemeClr w14:val="tx1"/>
            </w14:solidFill>
          </w14:textFill>
        </w:rPr>
      </w:pPr>
      <w:r>
        <w:rPr>
          <w:rFonts w:hint="eastAsia" w:ascii="黑体" w:hAnsi="黑体" w:eastAsia="黑体"/>
          <w:color w:val="000000" w:themeColor="text1"/>
          <w:szCs w:val="32"/>
          <w:highlight w:val="none"/>
          <w14:textFill>
            <w14:solidFill>
              <w14:schemeClr w14:val="tx1"/>
            </w14:solidFill>
          </w14:textFill>
        </w:rPr>
        <w:t xml:space="preserve">第二十六条 </w:t>
      </w:r>
      <w:r>
        <w:rPr>
          <w:rStyle w:val="47"/>
          <w:rFonts w:hint="eastAsia"/>
          <w:sz w:val="24"/>
          <w:szCs w:val="24"/>
          <w:highlight w:val="none"/>
        </w:rPr>
        <w:t>【生态环境类】</w:t>
      </w:r>
      <w:r>
        <w:rPr>
          <w:rFonts w:hint="eastAsia"/>
          <w:color w:val="000000" w:themeColor="text1"/>
          <w:szCs w:val="32"/>
          <w:highlight w:val="none"/>
          <w14:textFill>
            <w14:solidFill>
              <w14:schemeClr w14:val="tx1"/>
            </w14:solidFill>
          </w14:textFill>
        </w:rPr>
        <w:t>实施生态环境类更新的，应当统筹地上地下空间、滨海近山临河空间、零星地块等，节约集约利用土地，提高城市空间资源利用效率，改善环境品质，打造特色风貌。</w:t>
      </w:r>
    </w:p>
    <w:p w14:paraId="52FDF66E">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ascii="黑体" w:hAnsi="黑体" w:eastAsia="黑体"/>
          <w:color w:val="000000" w:themeColor="text1"/>
          <w:szCs w:val="32"/>
          <w:highlight w:val="none"/>
          <w14:textFill>
            <w14:solidFill>
              <w14:schemeClr w14:val="tx1"/>
            </w14:solidFill>
          </w14:textFill>
        </w:rPr>
        <w:t xml:space="preserve">第二十七条 </w:t>
      </w:r>
      <w:r>
        <w:rPr>
          <w:rStyle w:val="47"/>
          <w:rFonts w:hint="eastAsia"/>
          <w:sz w:val="24"/>
          <w:szCs w:val="24"/>
          <w:highlight w:val="none"/>
        </w:rPr>
        <w:t>【区域综合更新类】</w:t>
      </w:r>
      <w:r>
        <w:rPr>
          <w:rFonts w:hint="eastAsia"/>
          <w:highlight w:val="none"/>
        </w:rPr>
        <w:t>实施区域综合类更新的，应当整合各类空间资源，统筹推进居住类、产业类、设施类、公共空间类的更新改造，鼓励资源资产组合供应、整体运营，促进生活空间改善提升、生产空间提质增效。</w:t>
      </w:r>
    </w:p>
    <w:p w14:paraId="235621A3">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鼓励区域综合类更新与重大建设项目相衔接，推动周边交通路网、低效用地、老旧楼宇、老旧厂房提质增效，促进公共空间与公共设施品质提升。</w:t>
      </w:r>
    </w:p>
    <w:p w14:paraId="76BA62BC">
      <w:pPr>
        <w:pStyle w:val="3"/>
        <w:keepNext w:val="0"/>
        <w:keepLines w:val="0"/>
        <w:pageBreakBefore w:val="0"/>
        <w:kinsoku/>
        <w:wordWrap/>
        <w:overflowPunct/>
        <w:topLinePunct w:val="0"/>
        <w:autoSpaceDE/>
        <w:autoSpaceDN/>
        <w:bidi w:val="0"/>
        <w:adjustRightInd/>
        <w:snapToGrid/>
        <w:spacing w:line="560" w:lineRule="exact"/>
        <w:textAlignment w:val="auto"/>
        <w:rPr>
          <w:highlight w:val="none"/>
        </w:rPr>
      </w:pPr>
      <w:r>
        <w:rPr>
          <w:rFonts w:hint="eastAsia"/>
          <w:highlight w:val="none"/>
        </w:rPr>
        <w:t>第四章  政策保障</w:t>
      </w:r>
    </w:p>
    <w:p w14:paraId="4420D39F">
      <w:pPr>
        <w:pStyle w:val="45"/>
        <w:keepNext w:val="0"/>
        <w:keepLines w:val="0"/>
        <w:pageBreakBefore w:val="0"/>
        <w:kinsoku/>
        <w:wordWrap/>
        <w:overflowPunct/>
        <w:topLinePunct w:val="0"/>
        <w:autoSpaceDE/>
        <w:autoSpaceDN/>
        <w:bidi w:val="0"/>
        <w:adjustRightInd/>
        <w:snapToGrid/>
        <w:spacing w:line="560" w:lineRule="exact"/>
        <w:textAlignment w:val="auto"/>
        <w:rPr>
          <w:rFonts w:ascii="仿宋_GB2312" w:hAnsi="仿宋_GB2312" w:eastAsia="仿宋_GB2312"/>
          <w:color w:val="auto"/>
          <w:szCs w:val="22"/>
          <w:highlight w:val="none"/>
        </w:rPr>
      </w:pPr>
      <w:r>
        <w:rPr>
          <w:rStyle w:val="47"/>
          <w:highlight w:val="none"/>
        </w:rPr>
        <w:t>第</w:t>
      </w:r>
      <w:r>
        <w:rPr>
          <w:rStyle w:val="47"/>
          <w:rFonts w:hint="eastAsia"/>
          <w:highlight w:val="none"/>
        </w:rPr>
        <w:t>二十八</w:t>
      </w:r>
      <w:r>
        <w:rPr>
          <w:rStyle w:val="47"/>
          <w:highlight w:val="none"/>
        </w:rPr>
        <w:t>条</w:t>
      </w:r>
      <w:r>
        <w:rPr>
          <w:rStyle w:val="47"/>
          <w:rFonts w:hint="eastAsia"/>
          <w:sz w:val="24"/>
          <w:szCs w:val="24"/>
          <w:highlight w:val="none"/>
        </w:rPr>
        <w:t>【规划支持】</w:t>
      </w:r>
      <w:r>
        <w:rPr>
          <w:rFonts w:hint="eastAsia" w:ascii="仿宋_GB2312" w:hAnsi="仿宋_GB2312" w:eastAsia="仿宋_GB2312"/>
          <w:color w:val="auto"/>
          <w:szCs w:val="22"/>
          <w:highlight w:val="none"/>
        </w:rPr>
        <w:t>城市更新项目符合以下情形之一的，在满足国土空间规划的条件下，予以相应的规划支持：</w:t>
      </w:r>
    </w:p>
    <w:p w14:paraId="1202F97B">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w:t>
      </w:r>
      <w:r>
        <w:rPr>
          <w:rFonts w:hint="eastAsia"/>
          <w:highlight w:val="none"/>
          <w:lang w:val="en-US" w:eastAsia="zh-CN"/>
        </w:rPr>
        <w:t>一</w:t>
      </w:r>
      <w:r>
        <w:rPr>
          <w:rFonts w:hint="eastAsia"/>
          <w:highlight w:val="none"/>
        </w:rPr>
        <w:t>）城市更新项目所在区域尚未编制或者待修改国土空间详细规划的，可以先编制城市更新片区策划方案，经审定后将规划管控指标和要求纳入国土空间详细规划；</w:t>
      </w:r>
    </w:p>
    <w:p w14:paraId="194AB4B8">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w:t>
      </w:r>
      <w:r>
        <w:rPr>
          <w:rFonts w:hint="eastAsia"/>
          <w:highlight w:val="none"/>
          <w:lang w:val="en-US" w:eastAsia="zh-CN"/>
        </w:rPr>
        <w:t>二</w:t>
      </w:r>
      <w:r>
        <w:rPr>
          <w:rFonts w:hint="eastAsia"/>
          <w:highlight w:val="none"/>
        </w:rPr>
        <w:t>）对采用零星整合用地的城市更新项目，经片区策划方案等充分论证，符合有关管控要求及设计规范，且配套设施能达到标准的，可以进行多种土地用途的混合更新改造，不同性质的建筑面积可根据土地用地性质确定；</w:t>
      </w:r>
    </w:p>
    <w:p w14:paraId="1A12F69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highlight w:val="none"/>
          <w:lang w:eastAsia="zh-CN"/>
        </w:rPr>
      </w:pPr>
      <w:r>
        <w:rPr>
          <w:rFonts w:hint="eastAsia"/>
          <w:highlight w:val="none"/>
        </w:rPr>
        <w:t>（</w:t>
      </w:r>
      <w:r>
        <w:rPr>
          <w:rFonts w:hint="eastAsia"/>
          <w:highlight w:val="none"/>
          <w:lang w:val="en-US" w:eastAsia="zh-CN"/>
        </w:rPr>
        <w:t>三</w:t>
      </w:r>
      <w:r>
        <w:rPr>
          <w:rFonts w:hint="eastAsia"/>
          <w:highlight w:val="none"/>
        </w:rPr>
        <w:t>）实施老旧住房拆除新建，可以适当增加建筑规模、弹性控制规划指标、完善居住功能、增配公共服务设施、开发利用地上地下空间</w:t>
      </w:r>
      <w:r>
        <w:rPr>
          <w:rFonts w:hint="eastAsia"/>
          <w:highlight w:val="none"/>
          <w:lang w:eastAsia="zh-CN"/>
        </w:rPr>
        <w:t>；</w:t>
      </w:r>
    </w:p>
    <w:p w14:paraId="21F64EF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highlight w:val="none"/>
          <w:lang w:eastAsia="zh-CN"/>
        </w:rPr>
      </w:pPr>
      <w:r>
        <w:rPr>
          <w:rFonts w:hint="eastAsia"/>
          <w:highlight w:val="none"/>
        </w:rPr>
        <w:t>（</w:t>
      </w:r>
      <w:r>
        <w:rPr>
          <w:rFonts w:hint="eastAsia"/>
          <w:highlight w:val="none"/>
          <w:lang w:val="en-US" w:eastAsia="zh-CN"/>
        </w:rPr>
        <w:t>四</w:t>
      </w:r>
      <w:r>
        <w:rPr>
          <w:rFonts w:hint="eastAsia"/>
          <w:highlight w:val="none"/>
        </w:rPr>
        <w:t>）既有建筑符合规划和管控要求的，经依法批准后可以转换用途。既有商业类和服务业类建筑用途可以相互转换。鼓励各类既有建筑转换为市政基础设施、公共服务设施、公共安全设施</w:t>
      </w:r>
      <w:r>
        <w:rPr>
          <w:rFonts w:hint="eastAsia"/>
          <w:highlight w:val="none"/>
          <w:lang w:eastAsia="zh-CN"/>
        </w:rPr>
        <w:t>；</w:t>
      </w:r>
    </w:p>
    <w:p w14:paraId="2556C4A5">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highlight w:val="none"/>
        </w:rPr>
      </w:pPr>
      <w:r>
        <w:rPr>
          <w:rFonts w:hint="eastAsia"/>
          <w:highlight w:val="none"/>
        </w:rPr>
        <w:t>（</w:t>
      </w:r>
      <w:r>
        <w:rPr>
          <w:rFonts w:hint="eastAsia"/>
          <w:highlight w:val="none"/>
          <w:lang w:val="en-US" w:eastAsia="zh-CN"/>
        </w:rPr>
        <w:t>五</w:t>
      </w:r>
      <w:r>
        <w:rPr>
          <w:rFonts w:hint="eastAsia"/>
          <w:highlight w:val="none"/>
        </w:rPr>
        <w:t>）在城市更新活动中以加强保障民生、提高公共服务和城市品质为目的的公益贡献，根据国家有关规定予以鼓励。</w:t>
      </w:r>
    </w:p>
    <w:p w14:paraId="59E15C7E">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highlight w:val="none"/>
        </w:rPr>
      </w:pPr>
      <w:r>
        <w:rPr>
          <w:rStyle w:val="47"/>
          <w:highlight w:val="none"/>
        </w:rPr>
        <w:t>第</w:t>
      </w:r>
      <w:r>
        <w:rPr>
          <w:rStyle w:val="47"/>
          <w:rFonts w:hint="eastAsia"/>
          <w:highlight w:val="none"/>
        </w:rPr>
        <w:t>二十九条</w:t>
      </w:r>
      <w:r>
        <w:rPr>
          <w:rStyle w:val="47"/>
          <w:rFonts w:hint="eastAsia"/>
          <w:sz w:val="24"/>
          <w:szCs w:val="24"/>
          <w:highlight w:val="none"/>
        </w:rPr>
        <w:t>【用地支持】</w:t>
      </w:r>
      <w:r>
        <w:rPr>
          <w:rFonts w:hint="eastAsia"/>
          <w:highlight w:val="none"/>
        </w:rPr>
        <w:t>利用闲置用房等存量房屋建设公共服务设施以及运营国家、省、市支持发展产业的，在不改变用地主体和规划条件的前提下，根据国家有关规定，可以享受按照原用途、原土地权利类型使用土地的过渡期政策。</w:t>
      </w:r>
    </w:p>
    <w:p w14:paraId="54493BD3">
      <w:pPr>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eastAsia="仿宋_GB2312"/>
          <w:strike/>
          <w:dstrike w:val="0"/>
          <w:highlight w:val="none"/>
          <w:lang w:val="en-US" w:eastAsia="zh-CN"/>
        </w:rPr>
      </w:pPr>
      <w:r>
        <w:rPr>
          <w:rFonts w:hint="eastAsia"/>
          <w:highlight w:val="none"/>
        </w:rPr>
        <w:t>过渡期内，无需进行规划审批、土地处置、补缴土地价款、办理不动产登记</w:t>
      </w:r>
      <w:r>
        <w:rPr>
          <w:rFonts w:hint="eastAsia"/>
          <w:highlight w:val="none"/>
          <w:lang w:eastAsia="zh-CN"/>
        </w:rPr>
        <w:t>。</w:t>
      </w:r>
      <w:r>
        <w:rPr>
          <w:rFonts w:hint="eastAsia"/>
          <w:highlight w:val="none"/>
        </w:rPr>
        <w:t>过渡期届满时，符合产业发展方向和履约监管要求的，依法依约定按照新用途办理用地手续；不符合的，按照约定退出过渡期支持政策，维持原有土地用途。过渡期满办理土地有偿使用手续的，可采取租赁或协议出让方式。</w:t>
      </w:r>
    </w:p>
    <w:p w14:paraId="2B08E53C">
      <w:pPr>
        <w:pStyle w:val="48"/>
        <w:keepNext w:val="0"/>
        <w:keepLines w:val="0"/>
        <w:pageBreakBefore w:val="0"/>
        <w:kinsoku/>
        <w:wordWrap/>
        <w:overflowPunct/>
        <w:topLinePunct w:val="0"/>
        <w:autoSpaceDE/>
        <w:autoSpaceDN/>
        <w:bidi w:val="0"/>
        <w:adjustRightInd/>
        <w:snapToGrid/>
        <w:spacing w:line="560" w:lineRule="exact"/>
        <w:ind w:firstLine="640"/>
        <w:textAlignment w:val="auto"/>
        <w:rPr>
          <w:color w:val="auto"/>
          <w:highlight w:val="none"/>
        </w:rPr>
      </w:pPr>
      <w:r>
        <w:rPr>
          <w:rStyle w:val="47"/>
          <w:rFonts w:hint="eastAsia"/>
          <w:highlight w:val="none"/>
        </w:rPr>
        <w:t>第三十条</w:t>
      </w:r>
      <w:r>
        <w:rPr>
          <w:rStyle w:val="47"/>
          <w:rFonts w:hint="eastAsia"/>
          <w:sz w:val="24"/>
          <w:szCs w:val="24"/>
          <w:highlight w:val="none"/>
        </w:rPr>
        <w:t>【供地支持】</w:t>
      </w:r>
      <w:bookmarkStart w:id="0" w:name="OLE_LINK6"/>
      <w:bookmarkStart w:id="1" w:name="OLE_LINK7"/>
      <w:r>
        <w:rPr>
          <w:rFonts w:hint="eastAsia"/>
          <w:color w:val="auto"/>
          <w:highlight w:val="none"/>
        </w:rPr>
        <w:t>为完善市政基础设施、公共服务设施、公共安全设施的城市更新项目，如涉及土地使用权出让的，可以采取公开带方案招标、拍卖、挂牌出让等方式办理供地手续。</w:t>
      </w:r>
    </w:p>
    <w:p w14:paraId="7A8F9CEA">
      <w:pPr>
        <w:pStyle w:val="48"/>
        <w:keepNext w:val="0"/>
        <w:keepLines w:val="0"/>
        <w:pageBreakBefore w:val="0"/>
        <w:kinsoku/>
        <w:wordWrap/>
        <w:overflowPunct/>
        <w:topLinePunct w:val="0"/>
        <w:autoSpaceDE/>
        <w:autoSpaceDN/>
        <w:bidi w:val="0"/>
        <w:adjustRightInd/>
        <w:snapToGrid/>
        <w:spacing w:line="560" w:lineRule="exact"/>
        <w:ind w:firstLine="640"/>
        <w:textAlignment w:val="auto"/>
        <w:rPr>
          <w:color w:val="auto"/>
          <w:highlight w:val="none"/>
        </w:rPr>
      </w:pPr>
      <w:r>
        <w:rPr>
          <w:rFonts w:hint="eastAsia"/>
          <w:color w:val="auto"/>
          <w:highlight w:val="none"/>
        </w:rPr>
        <w:t>对于不能单独利用的边角地、零星用地等，确实无法按宗地单独供地的，可与周边用地整合实施，经有批准权人民政府批准后，可按划拨或协议有偿使用土地的有关规定办理供地手续。</w:t>
      </w:r>
    </w:p>
    <w:p w14:paraId="20DA921F">
      <w:pPr>
        <w:pStyle w:val="48"/>
        <w:keepNext w:val="0"/>
        <w:keepLines w:val="0"/>
        <w:pageBreakBefore w:val="0"/>
        <w:kinsoku/>
        <w:wordWrap/>
        <w:overflowPunct/>
        <w:topLinePunct w:val="0"/>
        <w:autoSpaceDE/>
        <w:autoSpaceDN/>
        <w:bidi w:val="0"/>
        <w:adjustRightInd/>
        <w:snapToGrid/>
        <w:spacing w:line="560" w:lineRule="exact"/>
        <w:ind w:firstLine="640"/>
        <w:textAlignment w:val="auto"/>
        <w:rPr>
          <w:color w:val="auto"/>
          <w:highlight w:val="none"/>
        </w:rPr>
      </w:pPr>
      <w:r>
        <w:rPr>
          <w:rStyle w:val="47"/>
          <w:rFonts w:hint="eastAsia"/>
          <w:highlight w:val="none"/>
        </w:rPr>
        <w:t>第三十一条</w:t>
      </w:r>
      <w:r>
        <w:rPr>
          <w:rStyle w:val="47"/>
          <w:highlight w:val="none"/>
        </w:rPr>
        <w:t xml:space="preserve"> </w:t>
      </w:r>
      <w:r>
        <w:rPr>
          <w:rStyle w:val="47"/>
          <w:rFonts w:hint="eastAsia"/>
          <w:sz w:val="24"/>
          <w:szCs w:val="24"/>
          <w:highlight w:val="none"/>
        </w:rPr>
        <w:t>【地价政策】</w:t>
      </w:r>
      <w:bookmarkEnd w:id="0"/>
      <w:bookmarkEnd w:id="1"/>
      <w:r>
        <w:rPr>
          <w:rFonts w:hint="eastAsia"/>
          <w:color w:val="auto"/>
          <w:highlight w:val="none"/>
        </w:rPr>
        <w:t>以协议补地价方式办理用地手续的城市更新项目，涉及用途、容积率等土地使用条件变更的，应当按照规定缴纳土地出让价款。</w:t>
      </w:r>
    </w:p>
    <w:p w14:paraId="4FB5136E">
      <w:pPr>
        <w:pStyle w:val="48"/>
        <w:keepNext w:val="0"/>
        <w:keepLines w:val="0"/>
        <w:pageBreakBefore w:val="0"/>
        <w:kinsoku/>
        <w:wordWrap/>
        <w:overflowPunct/>
        <w:topLinePunct w:val="0"/>
        <w:autoSpaceDE/>
        <w:autoSpaceDN/>
        <w:bidi w:val="0"/>
        <w:adjustRightInd/>
        <w:snapToGrid/>
        <w:spacing w:line="560" w:lineRule="exact"/>
        <w:ind w:firstLine="640"/>
        <w:textAlignment w:val="auto"/>
        <w:rPr>
          <w:color w:val="auto"/>
          <w:highlight w:val="none"/>
        </w:rPr>
      </w:pPr>
      <w:r>
        <w:rPr>
          <w:rFonts w:hint="eastAsia"/>
          <w:color w:val="auto"/>
          <w:highlight w:val="none"/>
        </w:rPr>
        <w:t>在符合规划的前提下，对利用小区内空地、荒地、绿地及拆除违法建设腾空土地等加装电梯和建设各类环境及配套设施和公共服务设施的，可不增收土地价款。</w:t>
      </w:r>
    </w:p>
    <w:p w14:paraId="46DC7D64">
      <w:pPr>
        <w:pStyle w:val="48"/>
        <w:keepNext w:val="0"/>
        <w:keepLines w:val="0"/>
        <w:pageBreakBefore w:val="0"/>
        <w:kinsoku/>
        <w:wordWrap/>
        <w:overflowPunct/>
        <w:topLinePunct w:val="0"/>
        <w:autoSpaceDE/>
        <w:autoSpaceDN/>
        <w:bidi w:val="0"/>
        <w:adjustRightInd/>
        <w:snapToGrid/>
        <w:spacing w:line="560" w:lineRule="exact"/>
        <w:ind w:firstLine="640"/>
        <w:textAlignment w:val="auto"/>
        <w:rPr>
          <w:rFonts w:hint="default" w:eastAsia="仿宋_GB2312"/>
          <w:color w:val="auto"/>
          <w:highlight w:val="none"/>
          <w:lang w:val="en-US" w:eastAsia="zh-CN"/>
        </w:rPr>
      </w:pPr>
      <w:r>
        <w:rPr>
          <w:rFonts w:hint="eastAsia"/>
          <w:color w:val="auto"/>
          <w:highlight w:val="none"/>
        </w:rPr>
        <w:t>在符合规划、不改变用途的前提下，土地使用者通过厂房加层、厂区改造、内部用地整理等途径提高自有工业用地或仓储用地土地利用率和增加容积率，可不增收土地价款。</w:t>
      </w:r>
    </w:p>
    <w:p w14:paraId="1F33B20A">
      <w:pPr>
        <w:pStyle w:val="4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color w:val="auto"/>
          <w:highlight w:val="none"/>
        </w:rPr>
      </w:pPr>
      <w:r>
        <w:rPr>
          <w:rStyle w:val="47"/>
          <w:rFonts w:hint="eastAsia"/>
          <w:highlight w:val="none"/>
        </w:rPr>
        <w:t>第三十二条</w:t>
      </w:r>
      <w:r>
        <w:rPr>
          <w:rStyle w:val="47"/>
          <w:rFonts w:hint="eastAsia"/>
          <w:sz w:val="24"/>
          <w:szCs w:val="24"/>
          <w:highlight w:val="none"/>
        </w:rPr>
        <w:t>【产权情况】</w:t>
      </w:r>
      <w:r>
        <w:rPr>
          <w:rFonts w:hint="eastAsia"/>
          <w:color w:val="auto"/>
          <w:highlight w:val="none"/>
        </w:rPr>
        <w:t>城市更新项目应当权属清楚、界址清晰、面积准确，实施更新后可以依法申请办理不动产登记。</w:t>
      </w:r>
    </w:p>
    <w:p w14:paraId="13FC1082">
      <w:pPr>
        <w:pStyle w:val="48"/>
        <w:keepNext w:val="0"/>
        <w:keepLines w:val="0"/>
        <w:pageBreakBefore w:val="0"/>
        <w:widowControl/>
        <w:kinsoku/>
        <w:wordWrap/>
        <w:overflowPunct/>
        <w:topLinePunct w:val="0"/>
        <w:autoSpaceDE/>
        <w:autoSpaceDN/>
        <w:bidi w:val="0"/>
        <w:adjustRightInd/>
        <w:snapToGrid/>
        <w:spacing w:line="560" w:lineRule="exact"/>
        <w:ind w:firstLine="640"/>
        <w:jc w:val="left"/>
        <w:textAlignment w:val="auto"/>
        <w:rPr>
          <w:rFonts w:hint="eastAsia"/>
          <w:color w:val="auto"/>
          <w:highlight w:val="none"/>
        </w:rPr>
      </w:pPr>
      <w:r>
        <w:rPr>
          <w:rFonts w:hint="eastAsia"/>
          <w:color w:val="auto"/>
          <w:highlight w:val="none"/>
        </w:rPr>
        <w:t>城市更新范围内已取得土地和规划审批手续的建筑物，可以纳入实施方案研究后一并办理相关手续。审批手续不全或者现状与原审批不符的建筑，区（市）人民政府应当组织有关部门进行调查、认定，涉及违反法律规定的，应当依法处理；不涉及违反法律规定的，经区（市）人民政府公示无异议，可以纳入实施方案研究后一并办理相关手续。</w:t>
      </w:r>
    </w:p>
    <w:p w14:paraId="34AD3078">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第三十三条</w:t>
      </w:r>
      <w:r>
        <w:rPr>
          <w:rStyle w:val="47"/>
          <w:rFonts w:hint="eastAsia"/>
          <w:sz w:val="24"/>
          <w:szCs w:val="24"/>
          <w:highlight w:val="none"/>
        </w:rPr>
        <w:t>【资金支持】</w:t>
      </w:r>
      <w:bookmarkStart w:id="2" w:name="OLE_LINK11"/>
      <w:bookmarkStart w:id="3" w:name="OLE_LINK10"/>
      <w:r>
        <w:rPr>
          <w:rFonts w:hint="eastAsia"/>
          <w:highlight w:val="none"/>
        </w:rPr>
        <w:t>市、区</w:t>
      </w:r>
      <w:r>
        <w:rPr>
          <w:rFonts w:hint="eastAsia"/>
          <w:highlight w:val="none"/>
          <w:lang w:eastAsia="zh-CN"/>
        </w:rPr>
        <w:t>（</w:t>
      </w:r>
      <w:r>
        <w:rPr>
          <w:rFonts w:hint="eastAsia"/>
          <w:highlight w:val="none"/>
        </w:rPr>
        <w:t>市</w:t>
      </w:r>
      <w:r>
        <w:rPr>
          <w:rFonts w:hint="eastAsia"/>
          <w:highlight w:val="none"/>
          <w:lang w:eastAsia="zh-CN"/>
        </w:rPr>
        <w:t>）</w:t>
      </w:r>
      <w:r>
        <w:rPr>
          <w:rFonts w:hint="eastAsia"/>
          <w:highlight w:val="none"/>
        </w:rPr>
        <w:t>人民政府应当建立以政府投入为引导、社会资本投入为主的多元化城市更新资金筹措体系，完善市场化投资融资制度，鼓励社会资本参与城市更新和运营。</w:t>
      </w:r>
    </w:p>
    <w:p w14:paraId="007E190C">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市、区</w:t>
      </w:r>
      <w:r>
        <w:rPr>
          <w:rFonts w:hint="eastAsia"/>
          <w:highlight w:val="none"/>
          <w:lang w:eastAsia="zh-CN"/>
        </w:rPr>
        <w:t>（</w:t>
      </w:r>
      <w:r>
        <w:rPr>
          <w:rFonts w:hint="eastAsia"/>
          <w:highlight w:val="none"/>
        </w:rPr>
        <w:t>市</w:t>
      </w:r>
      <w:r>
        <w:rPr>
          <w:rFonts w:hint="eastAsia"/>
          <w:highlight w:val="none"/>
          <w:lang w:eastAsia="zh-CN"/>
        </w:rPr>
        <w:t>）</w:t>
      </w:r>
      <w:r>
        <w:rPr>
          <w:rFonts w:hint="eastAsia"/>
          <w:highlight w:val="none"/>
        </w:rPr>
        <w:t>人民政府应当加强有关财政资金的统筹利用，对涉及公共利益、公共安全的城市更新项目予以资金支持。</w:t>
      </w:r>
    </w:p>
    <w:bookmarkEnd w:id="2"/>
    <w:bookmarkEnd w:id="3"/>
    <w:p w14:paraId="1CDE34F4">
      <w:pPr>
        <w:pStyle w:val="48"/>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第三十四条</w:t>
      </w:r>
      <w:r>
        <w:rPr>
          <w:rStyle w:val="47"/>
          <w:rFonts w:hint="eastAsia"/>
          <w:sz w:val="24"/>
          <w:szCs w:val="24"/>
          <w:highlight w:val="none"/>
        </w:rPr>
        <w:t>【融资支持】</w:t>
      </w:r>
      <w:r>
        <w:rPr>
          <w:rFonts w:hint="eastAsia"/>
          <w:highlight w:val="none"/>
        </w:rPr>
        <w:t>鼓励金融机构依法开发多样化金融产品和服务创新，满足城市更新项目融资需求。</w:t>
      </w:r>
    </w:p>
    <w:p w14:paraId="7CC31605">
      <w:pPr>
        <w:pStyle w:val="48"/>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鼓励政策性银行和商业银行按照有关规定为</w:t>
      </w:r>
      <w:r>
        <w:rPr>
          <w:rFonts w:hint="eastAsia"/>
          <w:highlight w:val="none"/>
          <w:lang w:val="en-US" w:eastAsia="zh-CN"/>
        </w:rPr>
        <w:t>城市更新</w:t>
      </w:r>
      <w:r>
        <w:rPr>
          <w:rFonts w:hint="eastAsia"/>
          <w:highlight w:val="none"/>
        </w:rPr>
        <w:t>实施主体提供周期较长</w:t>
      </w:r>
      <w:r>
        <w:rPr>
          <w:rFonts w:hint="eastAsia"/>
          <w:highlight w:val="none"/>
          <w:lang w:eastAsia="zh-CN"/>
        </w:rPr>
        <w:t>、</w:t>
      </w:r>
      <w:bookmarkStart w:id="9" w:name="_GoBack"/>
      <w:bookmarkEnd w:id="9"/>
      <w:r>
        <w:rPr>
          <w:rFonts w:hint="eastAsia"/>
          <w:highlight w:val="none"/>
        </w:rPr>
        <w:t>基于市场化利率的信贷支持。</w:t>
      </w:r>
    </w:p>
    <w:p w14:paraId="49603C1F">
      <w:pPr>
        <w:pStyle w:val="48"/>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支持符合条件的市场主体在多层次资本市场开展融资活动，发挥金融对城市更新的促进作用。</w:t>
      </w:r>
    </w:p>
    <w:p w14:paraId="1DF66E99">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bookmarkStart w:id="4" w:name="OLE_LINK8"/>
      <w:bookmarkStart w:id="5" w:name="OLE_LINK14"/>
      <w:bookmarkStart w:id="6" w:name="OLE_LINK9"/>
      <w:r>
        <w:rPr>
          <w:rStyle w:val="47"/>
          <w:rFonts w:hint="eastAsia"/>
          <w:highlight w:val="none"/>
        </w:rPr>
        <w:t>第三十</w:t>
      </w:r>
      <w:r>
        <w:rPr>
          <w:rStyle w:val="47"/>
          <w:rFonts w:hint="eastAsia" w:eastAsia="黑体"/>
          <w:highlight w:val="none"/>
          <w:lang w:val="en-US" w:eastAsia="zh-CN"/>
        </w:rPr>
        <w:t>五</w:t>
      </w:r>
      <w:r>
        <w:rPr>
          <w:rStyle w:val="47"/>
          <w:rFonts w:hint="eastAsia"/>
          <w:highlight w:val="none"/>
        </w:rPr>
        <w:t>条</w:t>
      </w:r>
      <w:r>
        <w:rPr>
          <w:rStyle w:val="47"/>
          <w:rFonts w:hint="eastAsia"/>
          <w:sz w:val="24"/>
          <w:szCs w:val="24"/>
          <w:highlight w:val="none"/>
        </w:rPr>
        <w:t>【项目审批】</w:t>
      </w:r>
      <w:r>
        <w:rPr>
          <w:rFonts w:hint="eastAsia"/>
          <w:highlight w:val="none"/>
        </w:rPr>
        <w:t>优化审批流程，项目实施方案经审定后，</w:t>
      </w:r>
      <w:r>
        <w:rPr>
          <w:rFonts w:hint="eastAsia"/>
          <w:highlight w:val="none"/>
          <w:lang w:val="en-US" w:eastAsia="zh-CN"/>
        </w:rPr>
        <w:t>城市</w:t>
      </w:r>
      <w:r>
        <w:rPr>
          <w:rFonts w:hint="eastAsia"/>
          <w:highlight w:val="none"/>
        </w:rPr>
        <w:t>更新项目实施主体</w:t>
      </w:r>
      <w:r>
        <w:rPr>
          <w:rFonts w:hint="eastAsia"/>
          <w:highlight w:val="none"/>
          <w:lang w:val="en-US" w:eastAsia="zh-CN"/>
        </w:rPr>
        <w:t>应当</w:t>
      </w:r>
      <w:r>
        <w:rPr>
          <w:rFonts w:hint="eastAsia"/>
          <w:highlight w:val="none"/>
        </w:rPr>
        <w:t>依法依规办理立项、土地、规划、建设等手续。相关部门应当按照优化营商环境的要求，根据项目分类实行并联办理，简化审批材料，提高审批效能。</w:t>
      </w:r>
    </w:p>
    <w:bookmarkEnd w:id="4"/>
    <w:bookmarkEnd w:id="5"/>
    <w:bookmarkEnd w:id="6"/>
    <w:p w14:paraId="7CB3B585">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第三十</w:t>
      </w:r>
      <w:r>
        <w:rPr>
          <w:rStyle w:val="47"/>
          <w:rFonts w:hint="eastAsia" w:eastAsia="黑体"/>
          <w:highlight w:val="none"/>
          <w:lang w:val="en-US" w:eastAsia="zh-CN"/>
        </w:rPr>
        <w:t>六</w:t>
      </w:r>
      <w:r>
        <w:rPr>
          <w:rStyle w:val="47"/>
          <w:rFonts w:hint="eastAsia"/>
          <w:highlight w:val="none"/>
        </w:rPr>
        <w:t>条</w:t>
      </w:r>
      <w:r>
        <w:rPr>
          <w:rStyle w:val="47"/>
          <w:rFonts w:hint="eastAsia"/>
          <w:sz w:val="24"/>
          <w:szCs w:val="24"/>
          <w:highlight w:val="none"/>
        </w:rPr>
        <w:t>【建设要求】</w:t>
      </w:r>
      <w:bookmarkStart w:id="7" w:name="OLE_LINK18"/>
      <w:bookmarkStart w:id="8" w:name="OLE_LINK17"/>
      <w:r>
        <w:rPr>
          <w:rFonts w:hint="eastAsia"/>
          <w:highlight w:val="none"/>
        </w:rPr>
        <w:t>城市更新项目应当符合现行的规划建设标准和规范。对确实无法满足现行规划建设标准和规范的城市更新项目，在保障公共安全、维护相关利害关系人合法权益的前提下，建筑间距、建筑退距、建筑密度、日照标准、绿地率、停车位等可以按照不低于现状条件为底线进行更新。</w:t>
      </w:r>
    </w:p>
    <w:p w14:paraId="7EC17A34">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城市更新项目的消防设计应当符合消防技术标准。因受建筑本身以及周边场地等条件限制，确实无法满足消防技术标准要求的，</w:t>
      </w:r>
      <w:r>
        <w:rPr>
          <w:rFonts w:hint="eastAsia"/>
          <w:highlight w:val="none"/>
          <w:lang w:val="en-US" w:eastAsia="zh-CN"/>
        </w:rPr>
        <w:t>项目</w:t>
      </w:r>
      <w:r>
        <w:rPr>
          <w:rFonts w:hint="eastAsia"/>
          <w:highlight w:val="none"/>
        </w:rPr>
        <w:t>实施主体应当开展专项消防设计，并组织有关领域专家进行论证。</w:t>
      </w:r>
    </w:p>
    <w:p w14:paraId="4297488E">
      <w:pPr>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Fonts w:hint="eastAsia"/>
          <w:highlight w:val="none"/>
        </w:rPr>
        <w:t>城市更新项目应当落实海绵城市理念，加强片区统筹谋划，因地制宜、系统施策。</w:t>
      </w:r>
    </w:p>
    <w:bookmarkEnd w:id="7"/>
    <w:bookmarkEnd w:id="8"/>
    <w:p w14:paraId="52616711">
      <w:pPr>
        <w:pStyle w:val="48"/>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第三十</w:t>
      </w:r>
      <w:r>
        <w:rPr>
          <w:rStyle w:val="47"/>
          <w:rFonts w:hint="eastAsia" w:eastAsia="黑体"/>
          <w:highlight w:val="none"/>
          <w:lang w:val="en-US" w:eastAsia="zh-CN"/>
        </w:rPr>
        <w:t>七</w:t>
      </w:r>
      <w:r>
        <w:rPr>
          <w:rStyle w:val="47"/>
          <w:rFonts w:hint="eastAsia"/>
          <w:highlight w:val="none"/>
        </w:rPr>
        <w:t>条</w:t>
      </w:r>
      <w:r>
        <w:rPr>
          <w:rStyle w:val="47"/>
          <w:rFonts w:hint="eastAsia"/>
          <w:sz w:val="24"/>
          <w:szCs w:val="24"/>
          <w:highlight w:val="none"/>
        </w:rPr>
        <w:t>【技术保障】</w:t>
      </w:r>
      <w:r>
        <w:rPr>
          <w:rFonts w:hint="eastAsia"/>
          <w:highlight w:val="none"/>
        </w:rPr>
        <w:t>市、区（市）人民政府应当依托城市信息模型基础平台等智能化公共数据平台，加强城市更新信息汇聚和科学应用，为城市更新政策咨询、需求征集、意愿表达、信息发布、项目推进、效果评估、指导监督等全生命周期管理提供服务和保障。</w:t>
      </w:r>
    </w:p>
    <w:p w14:paraId="425642EB">
      <w:pPr>
        <w:pStyle w:val="48"/>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第三十</w:t>
      </w:r>
      <w:r>
        <w:rPr>
          <w:rStyle w:val="47"/>
          <w:rFonts w:hint="eastAsia" w:eastAsia="黑体"/>
          <w:highlight w:val="none"/>
          <w:lang w:val="en-US" w:eastAsia="zh-CN"/>
        </w:rPr>
        <w:t>八</w:t>
      </w:r>
      <w:r>
        <w:rPr>
          <w:rStyle w:val="47"/>
          <w:rFonts w:hint="eastAsia"/>
          <w:highlight w:val="none"/>
        </w:rPr>
        <w:t>条</w:t>
      </w:r>
      <w:r>
        <w:rPr>
          <w:rStyle w:val="47"/>
          <w:rFonts w:hint="eastAsia"/>
          <w:sz w:val="24"/>
          <w:szCs w:val="24"/>
          <w:highlight w:val="none"/>
        </w:rPr>
        <w:t>【三项制度】</w:t>
      </w:r>
      <w:r>
        <w:rPr>
          <w:rFonts w:hint="eastAsia"/>
          <w:highlight w:val="none"/>
        </w:rPr>
        <w:t>本市建立房屋全生命周期安全管理制度。市住房城乡建设部门应当会同财政、公积金等有关部门推动完善房屋安全体检、房屋安全管理资金、房屋质量安全保险等相关制度措施。</w:t>
      </w:r>
    </w:p>
    <w:p w14:paraId="02A020E9">
      <w:pPr>
        <w:pStyle w:val="3"/>
        <w:keepNext w:val="0"/>
        <w:keepLines w:val="0"/>
        <w:pageBreakBefore w:val="0"/>
        <w:kinsoku/>
        <w:wordWrap/>
        <w:overflowPunct/>
        <w:topLinePunct w:val="0"/>
        <w:autoSpaceDE/>
        <w:autoSpaceDN/>
        <w:bidi w:val="0"/>
        <w:adjustRightInd/>
        <w:snapToGrid/>
        <w:spacing w:line="560" w:lineRule="exact"/>
        <w:textAlignment w:val="auto"/>
        <w:rPr>
          <w:highlight w:val="none"/>
        </w:rPr>
      </w:pPr>
      <w:r>
        <w:rPr>
          <w:rFonts w:hint="eastAsia"/>
          <w:highlight w:val="none"/>
        </w:rPr>
        <w:t>第五章 监督管理</w:t>
      </w:r>
    </w:p>
    <w:p w14:paraId="7BFC1F7F">
      <w:pPr>
        <w:keepNext w:val="0"/>
        <w:keepLines w:val="0"/>
        <w:pageBreakBefore w:val="0"/>
        <w:kinsoku/>
        <w:wordWrap/>
        <w:overflowPunct/>
        <w:topLinePunct w:val="0"/>
        <w:autoSpaceDE/>
        <w:autoSpaceDN/>
        <w:bidi w:val="0"/>
        <w:adjustRightInd/>
        <w:snapToGrid/>
        <w:spacing w:line="560" w:lineRule="exact"/>
        <w:ind w:firstLine="640"/>
        <w:textAlignment w:val="auto"/>
        <w:rPr>
          <w:b/>
          <w:bCs/>
          <w:color w:val="FF0000"/>
          <w:highlight w:val="none"/>
        </w:rPr>
      </w:pPr>
      <w:r>
        <w:rPr>
          <w:rStyle w:val="47"/>
          <w:rFonts w:hint="eastAsia"/>
          <w:highlight w:val="none"/>
        </w:rPr>
        <w:t>第</w:t>
      </w:r>
      <w:r>
        <w:rPr>
          <w:rStyle w:val="47"/>
          <w:rFonts w:hint="eastAsia" w:eastAsia="黑体"/>
          <w:highlight w:val="none"/>
          <w:lang w:val="en-US" w:eastAsia="zh-CN"/>
        </w:rPr>
        <w:t>三十九</w:t>
      </w:r>
      <w:r>
        <w:rPr>
          <w:rStyle w:val="47"/>
          <w:rFonts w:hint="eastAsia"/>
          <w:highlight w:val="none"/>
        </w:rPr>
        <w:t>条</w:t>
      </w:r>
      <w:r>
        <w:rPr>
          <w:rStyle w:val="47"/>
          <w:rFonts w:hint="eastAsia"/>
          <w:sz w:val="24"/>
          <w:szCs w:val="24"/>
          <w:highlight w:val="none"/>
        </w:rPr>
        <w:t>【督导考核】</w:t>
      </w:r>
      <w:r>
        <w:rPr>
          <w:rFonts w:hint="eastAsia"/>
          <w:highlight w:val="none"/>
        </w:rPr>
        <w:t>市、区（市）人民政府应当加强对城市更新工作的检查督导，将城市更新工作纳入考核体系。</w:t>
      </w:r>
    </w:p>
    <w:p w14:paraId="0FB78B17">
      <w:pPr>
        <w:pStyle w:val="48"/>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第四十条</w:t>
      </w:r>
      <w:r>
        <w:rPr>
          <w:rStyle w:val="47"/>
          <w:rFonts w:hint="eastAsia"/>
          <w:sz w:val="24"/>
          <w:szCs w:val="24"/>
          <w:highlight w:val="none"/>
        </w:rPr>
        <w:t>【资金监督】</w:t>
      </w:r>
      <w:r>
        <w:rPr>
          <w:rFonts w:hint="eastAsia"/>
          <w:highlight w:val="none"/>
        </w:rPr>
        <w:t>发</w:t>
      </w:r>
      <w:r>
        <w:rPr>
          <w:rFonts w:hint="eastAsia"/>
          <w:color w:val="auto"/>
          <w:highlight w:val="none"/>
        </w:rPr>
        <w:t>展改革、财政、审计等部门按照各自职责和有关规定，对城市更新中的国有资金使用情况进行监督。</w:t>
      </w:r>
    </w:p>
    <w:p w14:paraId="54550503">
      <w:pPr>
        <w:pStyle w:val="48"/>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第四十</w:t>
      </w:r>
      <w:r>
        <w:rPr>
          <w:rStyle w:val="47"/>
          <w:rFonts w:hint="eastAsia" w:eastAsia="黑体"/>
          <w:highlight w:val="none"/>
          <w:lang w:val="en-US" w:eastAsia="zh-CN"/>
        </w:rPr>
        <w:t>一</w:t>
      </w:r>
      <w:r>
        <w:rPr>
          <w:rStyle w:val="47"/>
          <w:rFonts w:hint="eastAsia"/>
          <w:highlight w:val="none"/>
        </w:rPr>
        <w:t>条</w:t>
      </w:r>
      <w:r>
        <w:rPr>
          <w:rStyle w:val="47"/>
          <w:rFonts w:hint="eastAsia"/>
          <w:sz w:val="24"/>
          <w:szCs w:val="24"/>
          <w:highlight w:val="none"/>
        </w:rPr>
        <w:t>【公众监督】</w:t>
      </w:r>
      <w:r>
        <w:rPr>
          <w:rFonts w:hint="eastAsia"/>
          <w:color w:val="auto"/>
          <w:highlight w:val="none"/>
        </w:rPr>
        <w:t>任何单位和个人有权对违反城市更新相关规定的行为进行投诉和举报。市、区（市）人民政府应当及时依法依规处理。</w:t>
      </w:r>
    </w:p>
    <w:p w14:paraId="45622054">
      <w:pPr>
        <w:pStyle w:val="48"/>
        <w:keepNext w:val="0"/>
        <w:keepLines w:val="0"/>
        <w:pageBreakBefore w:val="0"/>
        <w:kinsoku/>
        <w:wordWrap/>
        <w:overflowPunct/>
        <w:topLinePunct w:val="0"/>
        <w:autoSpaceDE/>
        <w:autoSpaceDN/>
        <w:bidi w:val="0"/>
        <w:adjustRightInd/>
        <w:snapToGrid/>
        <w:spacing w:line="560" w:lineRule="exact"/>
        <w:ind w:firstLine="640"/>
        <w:textAlignment w:val="auto"/>
        <w:rPr>
          <w:highlight w:val="none"/>
        </w:rPr>
      </w:pPr>
      <w:r>
        <w:rPr>
          <w:rStyle w:val="47"/>
          <w:rFonts w:hint="eastAsia"/>
          <w:highlight w:val="none"/>
        </w:rPr>
        <w:t>第四十</w:t>
      </w:r>
      <w:r>
        <w:rPr>
          <w:rStyle w:val="47"/>
          <w:rFonts w:hint="eastAsia" w:eastAsia="黑体"/>
          <w:highlight w:val="none"/>
          <w:lang w:val="en-US" w:eastAsia="zh-CN"/>
        </w:rPr>
        <w:t>二</w:t>
      </w:r>
      <w:r>
        <w:rPr>
          <w:rStyle w:val="47"/>
          <w:rFonts w:hint="eastAsia"/>
          <w:highlight w:val="none"/>
        </w:rPr>
        <w:t>条</w:t>
      </w:r>
      <w:r>
        <w:rPr>
          <w:rStyle w:val="47"/>
          <w:rFonts w:hint="eastAsia"/>
          <w:sz w:val="24"/>
          <w:szCs w:val="24"/>
          <w:highlight w:val="none"/>
        </w:rPr>
        <w:t>【责任追究】</w:t>
      </w:r>
      <w:r>
        <w:rPr>
          <w:rFonts w:hint="eastAsia"/>
          <w:highlight w:val="none"/>
        </w:rPr>
        <w:t>违反本条例规定的行为，法律、法规已有处理规定的，从其规定。</w:t>
      </w:r>
    </w:p>
    <w:p w14:paraId="4F1B2A1A">
      <w:pPr>
        <w:pStyle w:val="48"/>
        <w:keepNext w:val="0"/>
        <w:keepLines w:val="0"/>
        <w:pageBreakBefore w:val="0"/>
        <w:kinsoku/>
        <w:wordWrap/>
        <w:overflowPunct/>
        <w:topLinePunct w:val="0"/>
        <w:autoSpaceDE/>
        <w:autoSpaceDN/>
        <w:bidi w:val="0"/>
        <w:adjustRightInd/>
        <w:snapToGrid/>
        <w:spacing w:line="560" w:lineRule="exact"/>
        <w:ind w:firstLine="640"/>
        <w:textAlignment w:val="auto"/>
        <w:rPr>
          <w:color w:val="auto"/>
          <w:highlight w:val="none"/>
        </w:rPr>
      </w:pPr>
      <w:r>
        <w:rPr>
          <w:rFonts w:hint="eastAsia" w:ascii="黑体" w:hAnsi="黑体" w:eastAsia="黑体"/>
          <w:highlight w:val="none"/>
        </w:rPr>
        <w:t>第四十</w:t>
      </w:r>
      <w:r>
        <w:rPr>
          <w:rFonts w:hint="eastAsia" w:ascii="黑体" w:hAnsi="黑体" w:eastAsia="黑体"/>
          <w:highlight w:val="none"/>
          <w:lang w:val="en-US" w:eastAsia="zh-CN"/>
        </w:rPr>
        <w:t>三</w:t>
      </w:r>
      <w:r>
        <w:rPr>
          <w:rFonts w:hint="eastAsia" w:ascii="黑体" w:hAnsi="黑体" w:eastAsia="黑体"/>
          <w:highlight w:val="none"/>
        </w:rPr>
        <w:t>条</w:t>
      </w:r>
      <w:r>
        <w:rPr>
          <w:rStyle w:val="47"/>
          <w:rFonts w:hint="eastAsia"/>
          <w:sz w:val="24"/>
          <w:szCs w:val="24"/>
          <w:highlight w:val="none"/>
        </w:rPr>
        <w:t>【尽职条款】</w:t>
      </w:r>
      <w:r>
        <w:rPr>
          <w:rFonts w:hint="eastAsia"/>
          <w:highlight w:val="none"/>
        </w:rPr>
        <w:t xml:space="preserve"> </w:t>
      </w:r>
      <w:r>
        <w:rPr>
          <w:rFonts w:hint="eastAsia"/>
          <w:color w:val="auto"/>
          <w:highlight w:val="none"/>
        </w:rPr>
        <w:t>国家机关及其工作人员在城市更新工作中滥用职权、玩忽职守、徇私舞弊的，对直接负责的主管人员和其他直接责任人员依法给予处分；构成犯罪的，依法追究刑事责任。</w:t>
      </w:r>
    </w:p>
    <w:p w14:paraId="62568558">
      <w:pPr>
        <w:pStyle w:val="3"/>
        <w:keepNext w:val="0"/>
        <w:keepLines w:val="0"/>
        <w:pageBreakBefore w:val="0"/>
        <w:kinsoku/>
        <w:wordWrap/>
        <w:overflowPunct/>
        <w:topLinePunct w:val="0"/>
        <w:autoSpaceDE/>
        <w:autoSpaceDN/>
        <w:bidi w:val="0"/>
        <w:adjustRightInd/>
        <w:snapToGrid/>
        <w:spacing w:line="560" w:lineRule="exact"/>
        <w:textAlignment w:val="auto"/>
        <w:rPr>
          <w:highlight w:val="none"/>
        </w:rPr>
      </w:pPr>
      <w:r>
        <w:rPr>
          <w:rFonts w:hint="eastAsia"/>
          <w:highlight w:val="none"/>
        </w:rPr>
        <w:t>第六章  附则</w:t>
      </w:r>
    </w:p>
    <w:p w14:paraId="745684E6">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sz w:val="32"/>
          <w:szCs w:val="32"/>
          <w:highlight w:val="none"/>
        </w:rPr>
      </w:pPr>
      <w:r>
        <w:rPr>
          <w:rFonts w:hint="eastAsia" w:ascii="黑体" w:hAnsi="黑体" w:eastAsia="黑体"/>
          <w:color w:val="000000" w:themeColor="text1"/>
          <w:szCs w:val="32"/>
          <w:highlight w:val="none"/>
          <w14:textFill>
            <w14:solidFill>
              <w14:schemeClr w14:val="tx1"/>
            </w14:solidFill>
          </w14:textFill>
        </w:rPr>
        <w:t>第四十</w:t>
      </w:r>
      <w:r>
        <w:rPr>
          <w:rFonts w:hint="eastAsia" w:ascii="黑体" w:hAnsi="黑体" w:eastAsia="黑体"/>
          <w:color w:val="000000" w:themeColor="text1"/>
          <w:szCs w:val="32"/>
          <w:highlight w:val="none"/>
          <w:lang w:val="en-US" w:eastAsia="zh-CN"/>
          <w14:textFill>
            <w14:solidFill>
              <w14:schemeClr w14:val="tx1"/>
            </w14:solidFill>
          </w14:textFill>
        </w:rPr>
        <w:t>四</w:t>
      </w:r>
      <w:r>
        <w:rPr>
          <w:rFonts w:hint="eastAsia" w:ascii="黑体" w:hAnsi="黑体" w:eastAsia="黑体"/>
          <w:color w:val="000000" w:themeColor="text1"/>
          <w:szCs w:val="32"/>
          <w:highlight w:val="none"/>
          <w14:textFill>
            <w14:solidFill>
              <w14:schemeClr w14:val="tx1"/>
            </w14:solidFill>
          </w14:textFill>
        </w:rPr>
        <w:t>条</w:t>
      </w:r>
      <w:r>
        <w:rPr>
          <w:rStyle w:val="47"/>
          <w:rFonts w:hint="eastAsia"/>
          <w:sz w:val="24"/>
          <w:szCs w:val="24"/>
          <w:highlight w:val="none"/>
        </w:rPr>
        <w:t>【生效时间】</w:t>
      </w:r>
      <w:r>
        <w:rPr>
          <w:color w:val="000000" w:themeColor="text1"/>
          <w:szCs w:val="32"/>
          <w:highlight w:val="none"/>
          <w14:textFill>
            <w14:solidFill>
              <w14:schemeClr w14:val="tx1"/>
            </w14:solidFill>
          </w14:textFill>
        </w:rPr>
        <w:t>本</w:t>
      </w:r>
      <w:r>
        <w:rPr>
          <w:rFonts w:hint="eastAsia"/>
          <w:color w:val="000000" w:themeColor="text1"/>
          <w:szCs w:val="32"/>
          <w:highlight w:val="none"/>
          <w14:textFill>
            <w14:solidFill>
              <w14:schemeClr w14:val="tx1"/>
            </w14:solidFill>
          </w14:textFill>
        </w:rPr>
        <w:t>条例</w:t>
      </w:r>
      <w:r>
        <w:rPr>
          <w:color w:val="000000" w:themeColor="text1"/>
          <w:szCs w:val="32"/>
          <w:highlight w:val="none"/>
          <w14:textFill>
            <w14:solidFill>
              <w14:schemeClr w14:val="tx1"/>
            </w14:solidFill>
          </w14:textFill>
        </w:rPr>
        <w:t>自</w:t>
      </w:r>
      <w:r>
        <w:rPr>
          <w:rFonts w:hint="eastAsia"/>
          <w:color w:val="000000" w:themeColor="text1"/>
          <w:szCs w:val="32"/>
          <w:highlight w:val="none"/>
          <w14:textFill>
            <w14:solidFill>
              <w14:schemeClr w14:val="tx1"/>
            </w14:solidFill>
          </w14:textFill>
        </w:rPr>
        <w:t>□□□□</w:t>
      </w:r>
      <w:r>
        <w:rPr>
          <w:color w:val="000000" w:themeColor="text1"/>
          <w:szCs w:val="32"/>
          <w:highlight w:val="none"/>
          <w14:textFill>
            <w14:solidFill>
              <w14:schemeClr w14:val="tx1"/>
            </w14:solidFill>
          </w14:textFill>
        </w:rPr>
        <w:t>年</w:t>
      </w:r>
      <w:r>
        <w:rPr>
          <w:rFonts w:hint="eastAsia"/>
          <w:color w:val="000000" w:themeColor="text1"/>
          <w:szCs w:val="32"/>
          <w:highlight w:val="none"/>
          <w14:textFill>
            <w14:solidFill>
              <w14:schemeClr w14:val="tx1"/>
            </w14:solidFill>
          </w14:textFill>
        </w:rPr>
        <w:t>□</w:t>
      </w:r>
      <w:r>
        <w:rPr>
          <w:color w:val="000000" w:themeColor="text1"/>
          <w:szCs w:val="32"/>
          <w:highlight w:val="none"/>
          <w14:textFill>
            <w14:solidFill>
              <w14:schemeClr w14:val="tx1"/>
            </w14:solidFill>
          </w14:textFill>
        </w:rPr>
        <w:t>月</w:t>
      </w:r>
      <w:r>
        <w:rPr>
          <w:rFonts w:hint="eastAsia"/>
          <w:color w:val="000000" w:themeColor="text1"/>
          <w:szCs w:val="32"/>
          <w:highlight w:val="none"/>
          <w14:textFill>
            <w14:solidFill>
              <w14:schemeClr w14:val="tx1"/>
            </w14:solidFill>
          </w14:textFill>
        </w:rPr>
        <w:t>□</w:t>
      </w:r>
      <w:r>
        <w:rPr>
          <w:color w:val="000000" w:themeColor="text1"/>
          <w:szCs w:val="32"/>
          <w:highlight w:val="none"/>
          <w14:textFill>
            <w14:solidFill>
              <w14:schemeClr w14:val="tx1"/>
            </w14:solidFill>
          </w14:textFill>
        </w:rPr>
        <w:t>日起施行。</w:t>
      </w:r>
    </w:p>
    <w:sectPr>
      <w:footerReference r:id="rId5" w:type="default"/>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7FFFFD-08A0-4208-9828-CE562ADBE40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5B84654-C1FF-4FC1-9032-FAE66DD891BE}"/>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modern"/>
    <w:pitch w:val="default"/>
    <w:sig w:usb0="00000001" w:usb1="080E0000" w:usb2="00000000" w:usb3="00000000" w:csb0="00040000" w:csb1="00000000"/>
    <w:embedRegular r:id="rId3" w:fontKey="{E1B4F0C9-998B-4396-9B9B-6AD994EB2AE9}"/>
  </w:font>
  <w:font w:name="等线">
    <w:panose1 w:val="02010600030101010101"/>
    <w:charset w:val="86"/>
    <w:family w:val="auto"/>
    <w:pitch w:val="default"/>
    <w:sig w:usb0="A00002BF" w:usb1="38CF7CFA" w:usb2="00000016" w:usb3="00000000" w:csb0="0004000F" w:csb1="00000000"/>
  </w:font>
  <w:font w:name="方正小标宋_GBK">
    <w:panose1 w:val="02000000000000000000"/>
    <w:charset w:val="86"/>
    <w:family w:val="auto"/>
    <w:pitch w:val="default"/>
    <w:sig w:usb0="A00002BF" w:usb1="38CF7CFA" w:usb2="00082016" w:usb3="00000000" w:csb0="00040001" w:csb1="00000000"/>
    <w:embedRegular r:id="rId4" w:fontKey="{3CF5D6D2-CA45-4FAD-8DA8-A984B44E1C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9A9D">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BD1EC8">
                          <w:pPr>
                            <w:pStyle w:val="13"/>
                            <w:ind w:firstLine="360"/>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BD1EC8">
                    <w:pPr>
                      <w:pStyle w:val="13"/>
                      <w:ind w:firstLine="360"/>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C75"/>
    <w:rsid w:val="00002195"/>
    <w:rsid w:val="00002399"/>
    <w:rsid w:val="0000715B"/>
    <w:rsid w:val="000256A1"/>
    <w:rsid w:val="000651AE"/>
    <w:rsid w:val="00074A48"/>
    <w:rsid w:val="000865D5"/>
    <w:rsid w:val="000B52B0"/>
    <w:rsid w:val="000C0642"/>
    <w:rsid w:val="000C65C6"/>
    <w:rsid w:val="000E7266"/>
    <w:rsid w:val="000F1761"/>
    <w:rsid w:val="00111132"/>
    <w:rsid w:val="00113067"/>
    <w:rsid w:val="001131FF"/>
    <w:rsid w:val="00117511"/>
    <w:rsid w:val="00121855"/>
    <w:rsid w:val="0013281E"/>
    <w:rsid w:val="00141E6D"/>
    <w:rsid w:val="00155B05"/>
    <w:rsid w:val="001919B4"/>
    <w:rsid w:val="001B1BBF"/>
    <w:rsid w:val="001F2583"/>
    <w:rsid w:val="001F4F1B"/>
    <w:rsid w:val="00215A0C"/>
    <w:rsid w:val="002168F1"/>
    <w:rsid w:val="002679E8"/>
    <w:rsid w:val="002703FE"/>
    <w:rsid w:val="00276D7A"/>
    <w:rsid w:val="002B2B93"/>
    <w:rsid w:val="002C5CB6"/>
    <w:rsid w:val="002D70E0"/>
    <w:rsid w:val="002E4E6C"/>
    <w:rsid w:val="002F1DE8"/>
    <w:rsid w:val="002F2146"/>
    <w:rsid w:val="002F2B4A"/>
    <w:rsid w:val="00306944"/>
    <w:rsid w:val="0031423F"/>
    <w:rsid w:val="0032232C"/>
    <w:rsid w:val="00344D04"/>
    <w:rsid w:val="00352363"/>
    <w:rsid w:val="00354E7E"/>
    <w:rsid w:val="003717D7"/>
    <w:rsid w:val="003748D5"/>
    <w:rsid w:val="0037530E"/>
    <w:rsid w:val="00385CC5"/>
    <w:rsid w:val="003902E7"/>
    <w:rsid w:val="003B0A72"/>
    <w:rsid w:val="003B61F6"/>
    <w:rsid w:val="003C2EDB"/>
    <w:rsid w:val="003D57F9"/>
    <w:rsid w:val="00421E93"/>
    <w:rsid w:val="00460365"/>
    <w:rsid w:val="00477E9F"/>
    <w:rsid w:val="00490B96"/>
    <w:rsid w:val="004937A9"/>
    <w:rsid w:val="00493FB3"/>
    <w:rsid w:val="004A4C6D"/>
    <w:rsid w:val="004C76AD"/>
    <w:rsid w:val="004D0248"/>
    <w:rsid w:val="004D0BF8"/>
    <w:rsid w:val="004D792A"/>
    <w:rsid w:val="004E09A6"/>
    <w:rsid w:val="00504CDE"/>
    <w:rsid w:val="0052156B"/>
    <w:rsid w:val="005341A4"/>
    <w:rsid w:val="0053497C"/>
    <w:rsid w:val="005457ED"/>
    <w:rsid w:val="00570174"/>
    <w:rsid w:val="00571EC3"/>
    <w:rsid w:val="00573B27"/>
    <w:rsid w:val="00573BEA"/>
    <w:rsid w:val="005A1773"/>
    <w:rsid w:val="005A243E"/>
    <w:rsid w:val="005F30BD"/>
    <w:rsid w:val="0060720A"/>
    <w:rsid w:val="00630150"/>
    <w:rsid w:val="006427EA"/>
    <w:rsid w:val="00651934"/>
    <w:rsid w:val="00655567"/>
    <w:rsid w:val="006626E1"/>
    <w:rsid w:val="006631CA"/>
    <w:rsid w:val="00670129"/>
    <w:rsid w:val="00670A13"/>
    <w:rsid w:val="00681481"/>
    <w:rsid w:val="00694B90"/>
    <w:rsid w:val="006B78B8"/>
    <w:rsid w:val="006D4290"/>
    <w:rsid w:val="006E0106"/>
    <w:rsid w:val="006E3B03"/>
    <w:rsid w:val="00707F7D"/>
    <w:rsid w:val="00715298"/>
    <w:rsid w:val="00716117"/>
    <w:rsid w:val="00723105"/>
    <w:rsid w:val="0072595E"/>
    <w:rsid w:val="00760E45"/>
    <w:rsid w:val="007617F9"/>
    <w:rsid w:val="00766537"/>
    <w:rsid w:val="0077132C"/>
    <w:rsid w:val="00776FC0"/>
    <w:rsid w:val="007866A4"/>
    <w:rsid w:val="00787B98"/>
    <w:rsid w:val="00792B91"/>
    <w:rsid w:val="007B25C1"/>
    <w:rsid w:val="007B6452"/>
    <w:rsid w:val="007F0F2A"/>
    <w:rsid w:val="0080275A"/>
    <w:rsid w:val="00803F14"/>
    <w:rsid w:val="00804C0D"/>
    <w:rsid w:val="0080645A"/>
    <w:rsid w:val="008342A0"/>
    <w:rsid w:val="0084348E"/>
    <w:rsid w:val="0084620C"/>
    <w:rsid w:val="00872ACE"/>
    <w:rsid w:val="008825EC"/>
    <w:rsid w:val="008B1AF0"/>
    <w:rsid w:val="008B59F5"/>
    <w:rsid w:val="008B605E"/>
    <w:rsid w:val="008B7712"/>
    <w:rsid w:val="008C752C"/>
    <w:rsid w:val="008E7DFE"/>
    <w:rsid w:val="008F11FD"/>
    <w:rsid w:val="008F1F06"/>
    <w:rsid w:val="00906AA6"/>
    <w:rsid w:val="00920884"/>
    <w:rsid w:val="009245C6"/>
    <w:rsid w:val="00940DBC"/>
    <w:rsid w:val="00964ABB"/>
    <w:rsid w:val="00973849"/>
    <w:rsid w:val="009757B7"/>
    <w:rsid w:val="00980A01"/>
    <w:rsid w:val="0098732B"/>
    <w:rsid w:val="00993715"/>
    <w:rsid w:val="009A3E8D"/>
    <w:rsid w:val="009B161D"/>
    <w:rsid w:val="009D6530"/>
    <w:rsid w:val="009D6C17"/>
    <w:rsid w:val="009F3C99"/>
    <w:rsid w:val="00A06B6E"/>
    <w:rsid w:val="00A50532"/>
    <w:rsid w:val="00A54F4C"/>
    <w:rsid w:val="00A614A1"/>
    <w:rsid w:val="00A70B6E"/>
    <w:rsid w:val="00A74BDB"/>
    <w:rsid w:val="00A76F3C"/>
    <w:rsid w:val="00A82DC8"/>
    <w:rsid w:val="00A91307"/>
    <w:rsid w:val="00AA036B"/>
    <w:rsid w:val="00AA6F2A"/>
    <w:rsid w:val="00AE4A21"/>
    <w:rsid w:val="00AF1861"/>
    <w:rsid w:val="00AF1F8A"/>
    <w:rsid w:val="00B107FD"/>
    <w:rsid w:val="00B17C7D"/>
    <w:rsid w:val="00B22922"/>
    <w:rsid w:val="00B25BC4"/>
    <w:rsid w:val="00B27353"/>
    <w:rsid w:val="00B35A4F"/>
    <w:rsid w:val="00B90332"/>
    <w:rsid w:val="00BA069F"/>
    <w:rsid w:val="00BA3820"/>
    <w:rsid w:val="00BD1FCA"/>
    <w:rsid w:val="00BD6D65"/>
    <w:rsid w:val="00BE0CEA"/>
    <w:rsid w:val="00BE1595"/>
    <w:rsid w:val="00BE29BC"/>
    <w:rsid w:val="00BF1534"/>
    <w:rsid w:val="00BF2222"/>
    <w:rsid w:val="00C0236B"/>
    <w:rsid w:val="00C27BF6"/>
    <w:rsid w:val="00C5464D"/>
    <w:rsid w:val="00C705E4"/>
    <w:rsid w:val="00C754A1"/>
    <w:rsid w:val="00C9155D"/>
    <w:rsid w:val="00CD252C"/>
    <w:rsid w:val="00CF0B79"/>
    <w:rsid w:val="00CF252E"/>
    <w:rsid w:val="00D045BA"/>
    <w:rsid w:val="00D35F66"/>
    <w:rsid w:val="00D420C1"/>
    <w:rsid w:val="00D630C5"/>
    <w:rsid w:val="00D76D55"/>
    <w:rsid w:val="00D80641"/>
    <w:rsid w:val="00D93013"/>
    <w:rsid w:val="00D9353D"/>
    <w:rsid w:val="00DD4804"/>
    <w:rsid w:val="00DE2296"/>
    <w:rsid w:val="00DE7D2D"/>
    <w:rsid w:val="00DF00D0"/>
    <w:rsid w:val="00E10298"/>
    <w:rsid w:val="00E145C4"/>
    <w:rsid w:val="00E14C73"/>
    <w:rsid w:val="00E15674"/>
    <w:rsid w:val="00E217CC"/>
    <w:rsid w:val="00E228E1"/>
    <w:rsid w:val="00E23530"/>
    <w:rsid w:val="00E24EEC"/>
    <w:rsid w:val="00E311E8"/>
    <w:rsid w:val="00E331F8"/>
    <w:rsid w:val="00E35202"/>
    <w:rsid w:val="00E619C2"/>
    <w:rsid w:val="00E84D66"/>
    <w:rsid w:val="00E86DF3"/>
    <w:rsid w:val="00EB058F"/>
    <w:rsid w:val="00EB33C9"/>
    <w:rsid w:val="00ED382D"/>
    <w:rsid w:val="00EF1681"/>
    <w:rsid w:val="00F14C75"/>
    <w:rsid w:val="00F26C6F"/>
    <w:rsid w:val="00F56D1F"/>
    <w:rsid w:val="00F61C37"/>
    <w:rsid w:val="00F776DD"/>
    <w:rsid w:val="00F8038F"/>
    <w:rsid w:val="00F83651"/>
    <w:rsid w:val="00F84B4E"/>
    <w:rsid w:val="00FB25A7"/>
    <w:rsid w:val="00FB5298"/>
    <w:rsid w:val="00FC48EB"/>
    <w:rsid w:val="00FE6ED9"/>
    <w:rsid w:val="011B0745"/>
    <w:rsid w:val="016E7394"/>
    <w:rsid w:val="017D01AC"/>
    <w:rsid w:val="01B42948"/>
    <w:rsid w:val="01B66C17"/>
    <w:rsid w:val="026B2811"/>
    <w:rsid w:val="02DF57A3"/>
    <w:rsid w:val="03825F9E"/>
    <w:rsid w:val="038530DF"/>
    <w:rsid w:val="03917A1A"/>
    <w:rsid w:val="03B6755B"/>
    <w:rsid w:val="03F37758"/>
    <w:rsid w:val="0433051B"/>
    <w:rsid w:val="05946D18"/>
    <w:rsid w:val="05F15189"/>
    <w:rsid w:val="06750588"/>
    <w:rsid w:val="06D416EA"/>
    <w:rsid w:val="07452824"/>
    <w:rsid w:val="07A62D33"/>
    <w:rsid w:val="08AF5C17"/>
    <w:rsid w:val="0A0928C7"/>
    <w:rsid w:val="0A734729"/>
    <w:rsid w:val="0AB50447"/>
    <w:rsid w:val="0ABB76FA"/>
    <w:rsid w:val="0AC83568"/>
    <w:rsid w:val="0ACC6D0D"/>
    <w:rsid w:val="0B27768A"/>
    <w:rsid w:val="0BDD7548"/>
    <w:rsid w:val="0CDA7793"/>
    <w:rsid w:val="0CE20630"/>
    <w:rsid w:val="0D5C0513"/>
    <w:rsid w:val="0D5D3E94"/>
    <w:rsid w:val="0D6D580F"/>
    <w:rsid w:val="0DB8731C"/>
    <w:rsid w:val="0E9C0714"/>
    <w:rsid w:val="0F826E70"/>
    <w:rsid w:val="0FF5397B"/>
    <w:rsid w:val="104071FE"/>
    <w:rsid w:val="1054157E"/>
    <w:rsid w:val="10850497"/>
    <w:rsid w:val="108F3FC5"/>
    <w:rsid w:val="120B586B"/>
    <w:rsid w:val="12750F57"/>
    <w:rsid w:val="12A52565"/>
    <w:rsid w:val="130F3E82"/>
    <w:rsid w:val="132E255A"/>
    <w:rsid w:val="133B2998"/>
    <w:rsid w:val="13BD1260"/>
    <w:rsid w:val="14031E58"/>
    <w:rsid w:val="144848BD"/>
    <w:rsid w:val="145853B5"/>
    <w:rsid w:val="1514676F"/>
    <w:rsid w:val="15AA0042"/>
    <w:rsid w:val="15C25CC3"/>
    <w:rsid w:val="177249E0"/>
    <w:rsid w:val="17D271A4"/>
    <w:rsid w:val="180919AB"/>
    <w:rsid w:val="18C84FE2"/>
    <w:rsid w:val="18D21BDA"/>
    <w:rsid w:val="19B760C0"/>
    <w:rsid w:val="1A112A6C"/>
    <w:rsid w:val="1AE71241"/>
    <w:rsid w:val="1B1747C6"/>
    <w:rsid w:val="1BB7328D"/>
    <w:rsid w:val="1C30039B"/>
    <w:rsid w:val="1C56042C"/>
    <w:rsid w:val="1C5F19D6"/>
    <w:rsid w:val="1CB843EB"/>
    <w:rsid w:val="1CCA6F1D"/>
    <w:rsid w:val="1CD374BD"/>
    <w:rsid w:val="1D0744E2"/>
    <w:rsid w:val="1D6263B0"/>
    <w:rsid w:val="1DEC57A6"/>
    <w:rsid w:val="1DF223D6"/>
    <w:rsid w:val="1E1E4F79"/>
    <w:rsid w:val="1E272370"/>
    <w:rsid w:val="1E493CD8"/>
    <w:rsid w:val="1E670D33"/>
    <w:rsid w:val="1E7554E1"/>
    <w:rsid w:val="1EF938F1"/>
    <w:rsid w:val="1F656062"/>
    <w:rsid w:val="1FC16CC0"/>
    <w:rsid w:val="1FF40688"/>
    <w:rsid w:val="20A43E5C"/>
    <w:rsid w:val="20AE273E"/>
    <w:rsid w:val="2107263D"/>
    <w:rsid w:val="21383E62"/>
    <w:rsid w:val="216C24A0"/>
    <w:rsid w:val="21F506E7"/>
    <w:rsid w:val="221B305C"/>
    <w:rsid w:val="224106D8"/>
    <w:rsid w:val="234C5F1E"/>
    <w:rsid w:val="239C706C"/>
    <w:rsid w:val="23A97C09"/>
    <w:rsid w:val="23B808B1"/>
    <w:rsid w:val="24653902"/>
    <w:rsid w:val="24E115DD"/>
    <w:rsid w:val="24ED38F7"/>
    <w:rsid w:val="253D0DC7"/>
    <w:rsid w:val="25493224"/>
    <w:rsid w:val="26A74B68"/>
    <w:rsid w:val="26A75037"/>
    <w:rsid w:val="26CB0E4D"/>
    <w:rsid w:val="26DE0A65"/>
    <w:rsid w:val="272043EE"/>
    <w:rsid w:val="27EB0A4D"/>
    <w:rsid w:val="286777CE"/>
    <w:rsid w:val="2A3B772B"/>
    <w:rsid w:val="2A583579"/>
    <w:rsid w:val="2AC47203"/>
    <w:rsid w:val="2BEB6DE3"/>
    <w:rsid w:val="2C3075D9"/>
    <w:rsid w:val="2C932E82"/>
    <w:rsid w:val="2C98683F"/>
    <w:rsid w:val="2D07221A"/>
    <w:rsid w:val="2D73516B"/>
    <w:rsid w:val="2E6E3CFB"/>
    <w:rsid w:val="2E8D2EEB"/>
    <w:rsid w:val="2EDE052D"/>
    <w:rsid w:val="2F3E191F"/>
    <w:rsid w:val="30731155"/>
    <w:rsid w:val="30D66254"/>
    <w:rsid w:val="31B56C54"/>
    <w:rsid w:val="322F5530"/>
    <w:rsid w:val="328C0BF4"/>
    <w:rsid w:val="330F35A4"/>
    <w:rsid w:val="33356B95"/>
    <w:rsid w:val="333B0D57"/>
    <w:rsid w:val="33C7466E"/>
    <w:rsid w:val="35606D98"/>
    <w:rsid w:val="35AE64D2"/>
    <w:rsid w:val="35C104AB"/>
    <w:rsid w:val="362829E1"/>
    <w:rsid w:val="364D2448"/>
    <w:rsid w:val="37044258"/>
    <w:rsid w:val="371C5292"/>
    <w:rsid w:val="37983F3B"/>
    <w:rsid w:val="37C33926"/>
    <w:rsid w:val="381E5871"/>
    <w:rsid w:val="38286CC9"/>
    <w:rsid w:val="384C6E5B"/>
    <w:rsid w:val="394D459A"/>
    <w:rsid w:val="39C944DB"/>
    <w:rsid w:val="39DA0497"/>
    <w:rsid w:val="39E3734E"/>
    <w:rsid w:val="3A64709A"/>
    <w:rsid w:val="3B815DF1"/>
    <w:rsid w:val="3BC67B0B"/>
    <w:rsid w:val="3BD20F75"/>
    <w:rsid w:val="3D0D0EE9"/>
    <w:rsid w:val="3D506C23"/>
    <w:rsid w:val="3E151A9D"/>
    <w:rsid w:val="3E382C4A"/>
    <w:rsid w:val="3F1D5F61"/>
    <w:rsid w:val="3FA02A3A"/>
    <w:rsid w:val="401D5F7B"/>
    <w:rsid w:val="41EA3222"/>
    <w:rsid w:val="42E653E4"/>
    <w:rsid w:val="42ED123B"/>
    <w:rsid w:val="43040332"/>
    <w:rsid w:val="430833B8"/>
    <w:rsid w:val="4407632C"/>
    <w:rsid w:val="440B4C27"/>
    <w:rsid w:val="44415040"/>
    <w:rsid w:val="445B21D4"/>
    <w:rsid w:val="449A0075"/>
    <w:rsid w:val="449F6565"/>
    <w:rsid w:val="44E97F1E"/>
    <w:rsid w:val="452D5742"/>
    <w:rsid w:val="45CB571D"/>
    <w:rsid w:val="471136E7"/>
    <w:rsid w:val="485A2EEC"/>
    <w:rsid w:val="492D0807"/>
    <w:rsid w:val="49351245"/>
    <w:rsid w:val="49703B8A"/>
    <w:rsid w:val="49975878"/>
    <w:rsid w:val="49C0489C"/>
    <w:rsid w:val="4A454AFD"/>
    <w:rsid w:val="4A7D2EA4"/>
    <w:rsid w:val="4B306168"/>
    <w:rsid w:val="4B4B4D50"/>
    <w:rsid w:val="4B5E20F0"/>
    <w:rsid w:val="4BC028A6"/>
    <w:rsid w:val="4D152A86"/>
    <w:rsid w:val="4D583754"/>
    <w:rsid w:val="4E0C0BF7"/>
    <w:rsid w:val="4E1A7AEF"/>
    <w:rsid w:val="4E6D3230"/>
    <w:rsid w:val="4EB42115"/>
    <w:rsid w:val="4EC66BCA"/>
    <w:rsid w:val="4EDA328D"/>
    <w:rsid w:val="4F3E5EEC"/>
    <w:rsid w:val="4F6A6233"/>
    <w:rsid w:val="5206260B"/>
    <w:rsid w:val="5209326F"/>
    <w:rsid w:val="52497C42"/>
    <w:rsid w:val="527D5505"/>
    <w:rsid w:val="52DD387C"/>
    <w:rsid w:val="53DD2C05"/>
    <w:rsid w:val="54F02E10"/>
    <w:rsid w:val="554271E0"/>
    <w:rsid w:val="555E6C51"/>
    <w:rsid w:val="56225A2F"/>
    <w:rsid w:val="56552BDF"/>
    <w:rsid w:val="567E0AEB"/>
    <w:rsid w:val="569A4DDE"/>
    <w:rsid w:val="56AC4F4E"/>
    <w:rsid w:val="57527466"/>
    <w:rsid w:val="582148F5"/>
    <w:rsid w:val="58AA0EBE"/>
    <w:rsid w:val="59044790"/>
    <w:rsid w:val="5A75428E"/>
    <w:rsid w:val="5AFE70AE"/>
    <w:rsid w:val="5B2E2932"/>
    <w:rsid w:val="5BA27F4D"/>
    <w:rsid w:val="5C3151D1"/>
    <w:rsid w:val="5C5B678E"/>
    <w:rsid w:val="5CCC5599"/>
    <w:rsid w:val="5CFE60C6"/>
    <w:rsid w:val="5D6323CD"/>
    <w:rsid w:val="5F9A5E4E"/>
    <w:rsid w:val="5FBF15B7"/>
    <w:rsid w:val="60E923C8"/>
    <w:rsid w:val="624F7F20"/>
    <w:rsid w:val="62B4596B"/>
    <w:rsid w:val="632443AD"/>
    <w:rsid w:val="63D24297"/>
    <w:rsid w:val="65124602"/>
    <w:rsid w:val="65B44229"/>
    <w:rsid w:val="65BC08CD"/>
    <w:rsid w:val="65BD002A"/>
    <w:rsid w:val="68437083"/>
    <w:rsid w:val="685017A0"/>
    <w:rsid w:val="68A06454"/>
    <w:rsid w:val="69665AFA"/>
    <w:rsid w:val="699073EF"/>
    <w:rsid w:val="69C35B37"/>
    <w:rsid w:val="6A211646"/>
    <w:rsid w:val="6A7E0847"/>
    <w:rsid w:val="6A9040D6"/>
    <w:rsid w:val="6B2821BD"/>
    <w:rsid w:val="6B454EC0"/>
    <w:rsid w:val="6B912A30"/>
    <w:rsid w:val="6C5C5DC2"/>
    <w:rsid w:val="6CC7573F"/>
    <w:rsid w:val="6D023EAE"/>
    <w:rsid w:val="6D0A72EA"/>
    <w:rsid w:val="6D5F54B8"/>
    <w:rsid w:val="6D967C55"/>
    <w:rsid w:val="6DBD0E0B"/>
    <w:rsid w:val="6DC15918"/>
    <w:rsid w:val="6E2C2368"/>
    <w:rsid w:val="6E490972"/>
    <w:rsid w:val="6E7251F6"/>
    <w:rsid w:val="6EC923CE"/>
    <w:rsid w:val="6F2526BA"/>
    <w:rsid w:val="6F2725FC"/>
    <w:rsid w:val="6FC30C3C"/>
    <w:rsid w:val="7013664A"/>
    <w:rsid w:val="70182B6F"/>
    <w:rsid w:val="70453BB5"/>
    <w:rsid w:val="70772857"/>
    <w:rsid w:val="717E63D0"/>
    <w:rsid w:val="719B0A84"/>
    <w:rsid w:val="722470FB"/>
    <w:rsid w:val="7238370F"/>
    <w:rsid w:val="73570ADE"/>
    <w:rsid w:val="7377439D"/>
    <w:rsid w:val="73920C58"/>
    <w:rsid w:val="73993FFB"/>
    <w:rsid w:val="74A60D79"/>
    <w:rsid w:val="75131FC6"/>
    <w:rsid w:val="75645ACD"/>
    <w:rsid w:val="75C91AA0"/>
    <w:rsid w:val="7612515E"/>
    <w:rsid w:val="761C508B"/>
    <w:rsid w:val="7634683B"/>
    <w:rsid w:val="76965173"/>
    <w:rsid w:val="769E7AF5"/>
    <w:rsid w:val="76CD220E"/>
    <w:rsid w:val="780D3783"/>
    <w:rsid w:val="789B0816"/>
    <w:rsid w:val="79393B8B"/>
    <w:rsid w:val="79401B4C"/>
    <w:rsid w:val="796F0529"/>
    <w:rsid w:val="798F0E10"/>
    <w:rsid w:val="79D91008"/>
    <w:rsid w:val="7A392094"/>
    <w:rsid w:val="7B2435A5"/>
    <w:rsid w:val="7C6929D9"/>
    <w:rsid w:val="7C694FA8"/>
    <w:rsid w:val="7CDA4502"/>
    <w:rsid w:val="7E39772C"/>
    <w:rsid w:val="7E6B2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80" w:firstLineChars="200"/>
      <w:jc w:val="both"/>
    </w:pPr>
    <w:rPr>
      <w:rFonts w:ascii="仿宋_GB2312" w:hAnsi="仿宋_GB2312" w:eastAsia="仿宋_GB2312" w:cstheme="minorBidi"/>
      <w:kern w:val="2"/>
      <w:sz w:val="32"/>
      <w:szCs w:val="22"/>
      <w:lang w:val="en-US" w:eastAsia="zh-CN" w:bidi="ar-SA"/>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3"/>
    <w:unhideWhenUsed/>
    <w:qFormat/>
    <w:uiPriority w:val="9"/>
    <w:pPr>
      <w:spacing w:before="160" w:after="80"/>
      <w:ind w:firstLine="0" w:firstLineChars="0"/>
      <w:jc w:val="center"/>
      <w:outlineLvl w:val="1"/>
    </w:pPr>
    <w:rPr>
      <w:rFonts w:ascii="黑体" w:hAnsi="黑体" w:eastAsia="黑体" w:cstheme="majorBidi"/>
      <w:color w:val="000000" w:themeColor="text1"/>
      <w:szCs w:val="40"/>
      <w14:textFill>
        <w14:solidFill>
          <w14:schemeClr w14:val="tx1"/>
        </w14:solidFill>
      </w14:textFill>
    </w:rPr>
  </w:style>
  <w:style w:type="paragraph" w:styleId="4">
    <w:name w:val="heading 3"/>
    <w:basedOn w:val="1"/>
    <w:next w:val="1"/>
    <w:link w:val="24"/>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Cs w:val="32"/>
    </w:rPr>
  </w:style>
  <w:style w:type="paragraph" w:styleId="5">
    <w:name w:val="heading 4"/>
    <w:basedOn w:val="1"/>
    <w:next w:val="1"/>
    <w:link w:val="25"/>
    <w:unhideWhenUsed/>
    <w:qFormat/>
    <w:uiPriority w:val="9"/>
    <w:pPr>
      <w:outlineLvl w:val="3"/>
    </w:pPr>
    <w:rPr>
      <w:rFonts w:cs="仿宋_GB2312"/>
      <w:color w:val="000000" w:themeColor="text1"/>
      <w:szCs w:val="32"/>
      <w14:textFill>
        <w14:solidFill>
          <w14:schemeClr w14:val="tx1"/>
        </w14:solidFill>
      </w14:textFill>
    </w:rPr>
  </w:style>
  <w:style w:type="paragraph" w:styleId="6">
    <w:name w:val="heading 5"/>
    <w:basedOn w:val="1"/>
    <w:next w:val="1"/>
    <w:link w:val="26"/>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7"/>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8"/>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9"/>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0"/>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unhideWhenUsed/>
    <w:qFormat/>
    <w:uiPriority w:val="99"/>
    <w:pPr>
      <w:jc w:val="left"/>
    </w:pPr>
    <w:rPr>
      <w:rFonts w:ascii="楷体_GB2312" w:hAnsi="楷体_GB2312" w:eastAsia="楷体_GB2312"/>
      <w:sz w:val="28"/>
    </w:rPr>
  </w:style>
  <w:style w:type="paragraph" w:styleId="12">
    <w:name w:val="Balloon Text"/>
    <w:basedOn w:val="1"/>
    <w:link w:val="42"/>
    <w:semiHidden/>
    <w:unhideWhenUsed/>
    <w:qFormat/>
    <w:uiPriority w:val="0"/>
    <w:rPr>
      <w:sz w:val="18"/>
      <w:szCs w:val="18"/>
    </w:rPr>
  </w:style>
  <w:style w:type="paragraph" w:styleId="13">
    <w:name w:val="footer"/>
    <w:basedOn w:val="1"/>
    <w:link w:val="41"/>
    <w:unhideWhenUsed/>
    <w:qFormat/>
    <w:uiPriority w:val="99"/>
    <w:pPr>
      <w:tabs>
        <w:tab w:val="center" w:pos="4153"/>
        <w:tab w:val="right" w:pos="8306"/>
      </w:tabs>
      <w:snapToGrid w:val="0"/>
      <w:jc w:val="left"/>
    </w:pPr>
    <w:rPr>
      <w:sz w:val="18"/>
      <w:szCs w:val="18"/>
    </w:rPr>
  </w:style>
  <w:style w:type="paragraph" w:styleId="14">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Normal (Web)"/>
    <w:basedOn w:val="1"/>
    <w:qFormat/>
    <w:uiPriority w:val="0"/>
    <w:pPr>
      <w:spacing w:beforeAutospacing="1" w:afterAutospacing="1"/>
      <w:jc w:val="left"/>
    </w:pPr>
    <w:rPr>
      <w:rFonts w:cs="Times New Roman"/>
      <w:kern w:val="0"/>
      <w:sz w:val="24"/>
      <w:szCs w:val="24"/>
    </w:rPr>
  </w:style>
  <w:style w:type="paragraph" w:styleId="17">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20">
    <w:name w:val="Strong"/>
    <w:basedOn w:val="19"/>
    <w:qFormat/>
    <w:uiPriority w:val="0"/>
    <w:rPr>
      <w:b/>
    </w:rPr>
  </w:style>
  <w:style w:type="character" w:styleId="21">
    <w:name w:val="annotation reference"/>
    <w:basedOn w:val="19"/>
    <w:semiHidden/>
    <w:unhideWhenUsed/>
    <w:qFormat/>
    <w:uiPriority w:val="99"/>
    <w:rPr>
      <w:sz w:val="21"/>
      <w:szCs w:val="21"/>
    </w:rPr>
  </w:style>
  <w:style w:type="character" w:customStyle="1" w:styleId="22">
    <w:name w:val="标题 1 字符"/>
    <w:basedOn w:val="19"/>
    <w:link w:val="2"/>
    <w:qFormat/>
    <w:uiPriority w:val="9"/>
    <w:rPr>
      <w:rFonts w:asciiTheme="majorHAnsi" w:hAnsiTheme="majorHAnsi" w:eastAsiaTheme="majorEastAsia" w:cstheme="majorBidi"/>
      <w:color w:val="104862" w:themeColor="accent1" w:themeShade="BF"/>
      <w:sz w:val="48"/>
      <w:szCs w:val="48"/>
      <w14:ligatures w14:val="none"/>
    </w:rPr>
  </w:style>
  <w:style w:type="character" w:customStyle="1" w:styleId="23">
    <w:name w:val="标题 2 字符"/>
    <w:basedOn w:val="19"/>
    <w:link w:val="3"/>
    <w:qFormat/>
    <w:uiPriority w:val="9"/>
    <w:rPr>
      <w:rFonts w:ascii="黑体" w:hAnsi="黑体" w:eastAsia="黑体" w:cstheme="majorBidi"/>
      <w:color w:val="000000" w:themeColor="text1"/>
      <w:sz w:val="32"/>
      <w:szCs w:val="40"/>
      <w14:textFill>
        <w14:solidFill>
          <w14:schemeClr w14:val="tx1"/>
        </w14:solidFill>
      </w14:textFill>
      <w14:ligatures w14:val="none"/>
    </w:rPr>
  </w:style>
  <w:style w:type="character" w:customStyle="1" w:styleId="24">
    <w:name w:val="标题 3 字符"/>
    <w:basedOn w:val="19"/>
    <w:link w:val="4"/>
    <w:semiHidden/>
    <w:qFormat/>
    <w:uiPriority w:val="9"/>
    <w:rPr>
      <w:rFonts w:asciiTheme="majorHAnsi" w:hAnsiTheme="majorHAnsi" w:eastAsiaTheme="majorEastAsia" w:cstheme="majorBidi"/>
      <w:color w:val="104862" w:themeColor="accent1" w:themeShade="BF"/>
      <w:sz w:val="32"/>
      <w:szCs w:val="32"/>
      <w14:ligatures w14:val="none"/>
    </w:rPr>
  </w:style>
  <w:style w:type="character" w:customStyle="1" w:styleId="25">
    <w:name w:val="标题 4 字符"/>
    <w:basedOn w:val="19"/>
    <w:link w:val="5"/>
    <w:semiHidden/>
    <w:qFormat/>
    <w:uiPriority w:val="9"/>
    <w:rPr>
      <w:rFonts w:ascii="仿宋_GB2312" w:hAnsi="仿宋_GB2312" w:eastAsia="仿宋_GB2312" w:cs="仿宋_GB2312"/>
      <w:color w:val="000000" w:themeColor="text1"/>
      <w:sz w:val="32"/>
      <w:szCs w:val="32"/>
      <w14:textFill>
        <w14:solidFill>
          <w14:schemeClr w14:val="tx1"/>
        </w14:solidFill>
      </w14:textFill>
      <w14:ligatures w14:val="none"/>
    </w:rPr>
  </w:style>
  <w:style w:type="character" w:customStyle="1" w:styleId="26">
    <w:name w:val="标题 5 字符"/>
    <w:basedOn w:val="19"/>
    <w:link w:val="6"/>
    <w:semiHidden/>
    <w:qFormat/>
    <w:uiPriority w:val="9"/>
    <w:rPr>
      <w:rFonts w:cstheme="majorBidi"/>
      <w:color w:val="104862" w:themeColor="accent1" w:themeShade="BF"/>
      <w:sz w:val="24"/>
      <w:szCs w:val="24"/>
      <w14:ligatures w14:val="none"/>
    </w:rPr>
  </w:style>
  <w:style w:type="character" w:customStyle="1" w:styleId="27">
    <w:name w:val="标题 6 字符"/>
    <w:basedOn w:val="19"/>
    <w:link w:val="7"/>
    <w:semiHidden/>
    <w:qFormat/>
    <w:uiPriority w:val="9"/>
    <w:rPr>
      <w:rFonts w:cstheme="majorBidi"/>
      <w:b/>
      <w:bCs/>
      <w:color w:val="104862" w:themeColor="accent1" w:themeShade="BF"/>
      <w14:ligatures w14:val="none"/>
    </w:rPr>
  </w:style>
  <w:style w:type="character" w:customStyle="1" w:styleId="28">
    <w:name w:val="标题 7 字符"/>
    <w:basedOn w:val="19"/>
    <w:link w:val="8"/>
    <w:semiHidden/>
    <w:qFormat/>
    <w:uiPriority w:val="9"/>
    <w:rPr>
      <w:rFonts w:cstheme="majorBidi"/>
      <w:b/>
      <w:bCs/>
      <w:color w:val="595959" w:themeColor="text1" w:themeTint="A6"/>
      <w14:textFill>
        <w14:solidFill>
          <w14:schemeClr w14:val="tx1">
            <w14:lumMod w14:val="65000"/>
            <w14:lumOff w14:val="35000"/>
          </w14:schemeClr>
        </w14:solidFill>
      </w14:textFill>
      <w14:ligatures w14:val="none"/>
    </w:rPr>
  </w:style>
  <w:style w:type="character" w:customStyle="1" w:styleId="29">
    <w:name w:val="标题 8 字符"/>
    <w:basedOn w:val="19"/>
    <w:link w:val="9"/>
    <w:semiHidden/>
    <w:qFormat/>
    <w:uiPriority w:val="9"/>
    <w:rPr>
      <w:rFonts w:cstheme="majorBidi"/>
      <w:color w:val="595959" w:themeColor="text1" w:themeTint="A6"/>
      <w14:textFill>
        <w14:solidFill>
          <w14:schemeClr w14:val="tx1">
            <w14:lumMod w14:val="65000"/>
            <w14:lumOff w14:val="35000"/>
          </w14:schemeClr>
        </w14:solidFill>
      </w14:textFill>
      <w14:ligatures w14:val="none"/>
    </w:rPr>
  </w:style>
  <w:style w:type="character" w:customStyle="1" w:styleId="30">
    <w:name w:val="标题 9 字符"/>
    <w:basedOn w:val="19"/>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14:ligatures w14:val="none"/>
    </w:rPr>
  </w:style>
  <w:style w:type="character" w:customStyle="1" w:styleId="31">
    <w:name w:val="标题 字符"/>
    <w:basedOn w:val="19"/>
    <w:link w:val="17"/>
    <w:qFormat/>
    <w:uiPriority w:val="10"/>
    <w:rPr>
      <w:rFonts w:asciiTheme="majorHAnsi" w:hAnsiTheme="majorHAnsi" w:eastAsiaTheme="majorEastAsia" w:cstheme="majorBidi"/>
      <w:spacing w:val="-10"/>
      <w:kern w:val="28"/>
      <w:sz w:val="56"/>
      <w:szCs w:val="56"/>
      <w14:ligatures w14:val="none"/>
    </w:rPr>
  </w:style>
  <w:style w:type="character" w:customStyle="1" w:styleId="32">
    <w:name w:val="副标题 字符"/>
    <w:basedOn w:val="19"/>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none"/>
    </w:rPr>
  </w:style>
  <w:style w:type="paragraph" w:styleId="33">
    <w:name w:val="Quote"/>
    <w:basedOn w:val="1"/>
    <w:next w:val="1"/>
    <w:link w:val="34"/>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4">
    <w:name w:val="引用 字符"/>
    <w:basedOn w:val="19"/>
    <w:link w:val="33"/>
    <w:qFormat/>
    <w:uiPriority w:val="29"/>
    <w:rPr>
      <w:i/>
      <w:iCs/>
      <w:color w:val="404040" w:themeColor="text1" w:themeTint="BF"/>
      <w14:textFill>
        <w14:solidFill>
          <w14:schemeClr w14:val="tx1">
            <w14:lumMod w14:val="75000"/>
            <w14:lumOff w14:val="25000"/>
          </w14:schemeClr>
        </w14:solidFill>
      </w14:textFill>
      <w14:ligatures w14:val="none"/>
    </w:rPr>
  </w:style>
  <w:style w:type="paragraph" w:styleId="35">
    <w:name w:val="List Paragraph"/>
    <w:basedOn w:val="1"/>
    <w:qFormat/>
    <w:uiPriority w:val="34"/>
    <w:pPr>
      <w:ind w:left="720"/>
      <w:contextualSpacing/>
    </w:pPr>
  </w:style>
  <w:style w:type="character" w:customStyle="1" w:styleId="36">
    <w:name w:val="明显强调1"/>
    <w:basedOn w:val="19"/>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8">
    <w:name w:val="明显引用 字符"/>
    <w:basedOn w:val="19"/>
    <w:link w:val="37"/>
    <w:qFormat/>
    <w:uiPriority w:val="30"/>
    <w:rPr>
      <w:i/>
      <w:iCs/>
      <w:color w:val="104862" w:themeColor="accent1" w:themeShade="BF"/>
      <w14:ligatures w14:val="none"/>
    </w:rPr>
  </w:style>
  <w:style w:type="character" w:customStyle="1" w:styleId="39">
    <w:name w:val="明显参考1"/>
    <w:basedOn w:val="19"/>
    <w:qFormat/>
    <w:uiPriority w:val="32"/>
    <w:rPr>
      <w:b/>
      <w:bCs/>
      <w:smallCaps/>
      <w:color w:val="104862" w:themeColor="accent1" w:themeShade="BF"/>
      <w:spacing w:val="5"/>
    </w:rPr>
  </w:style>
  <w:style w:type="character" w:customStyle="1" w:styleId="40">
    <w:name w:val="页眉 字符"/>
    <w:basedOn w:val="19"/>
    <w:link w:val="14"/>
    <w:qFormat/>
    <w:uiPriority w:val="99"/>
    <w:rPr>
      <w:sz w:val="18"/>
      <w:szCs w:val="18"/>
      <w14:ligatures w14:val="none"/>
    </w:rPr>
  </w:style>
  <w:style w:type="character" w:customStyle="1" w:styleId="41">
    <w:name w:val="页脚 字符"/>
    <w:basedOn w:val="19"/>
    <w:link w:val="13"/>
    <w:qFormat/>
    <w:uiPriority w:val="99"/>
    <w:rPr>
      <w:sz w:val="18"/>
      <w:szCs w:val="18"/>
      <w14:ligatures w14:val="none"/>
    </w:rPr>
  </w:style>
  <w:style w:type="character" w:customStyle="1" w:styleId="42">
    <w:name w:val="批注框文本 字符"/>
    <w:basedOn w:val="19"/>
    <w:link w:val="12"/>
    <w:semiHidden/>
    <w:qFormat/>
    <w:uiPriority w:val="0"/>
    <w:rPr>
      <w:sz w:val="18"/>
      <w:szCs w:val="18"/>
      <w14:ligatures w14:val="none"/>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45">
    <w:name w:val="zz标题2"/>
    <w:basedOn w:val="1"/>
    <w:link w:val="47"/>
    <w:qFormat/>
    <w:uiPriority w:val="0"/>
    <w:pPr>
      <w:ind w:firstLine="640"/>
    </w:pPr>
    <w:rPr>
      <w:rFonts w:ascii="黑体" w:hAnsi="黑体" w:eastAsia="黑体"/>
      <w:color w:val="000000" w:themeColor="text1"/>
      <w:szCs w:val="32"/>
      <w14:textFill>
        <w14:solidFill>
          <w14:schemeClr w14:val="tx1"/>
        </w14:solidFill>
      </w14:textFill>
    </w:rPr>
  </w:style>
  <w:style w:type="paragraph" w:customStyle="1" w:styleId="46">
    <w:name w:val="zz标题1"/>
    <w:basedOn w:val="1"/>
    <w:link w:val="49"/>
    <w:qFormat/>
    <w:uiPriority w:val="0"/>
    <w:pPr>
      <w:jc w:val="center"/>
    </w:pPr>
    <w:rPr>
      <w:rFonts w:ascii="黑体" w:hAnsi="黑体" w:eastAsia="黑体"/>
      <w:color w:val="000000" w:themeColor="text1"/>
      <w:szCs w:val="32"/>
      <w14:textFill>
        <w14:solidFill>
          <w14:schemeClr w14:val="tx1"/>
        </w14:solidFill>
      </w14:textFill>
    </w:rPr>
  </w:style>
  <w:style w:type="character" w:customStyle="1" w:styleId="47">
    <w:name w:val="zz标题2 Char"/>
    <w:basedOn w:val="19"/>
    <w:link w:val="45"/>
    <w:qFormat/>
    <w:uiPriority w:val="0"/>
    <w:rPr>
      <w:rFonts w:ascii="黑体" w:hAnsi="黑体" w:eastAsia="黑体" w:cstheme="minorBidi"/>
      <w:color w:val="000000" w:themeColor="text1"/>
      <w:kern w:val="2"/>
      <w:sz w:val="32"/>
      <w:szCs w:val="32"/>
      <w14:textFill>
        <w14:solidFill>
          <w14:schemeClr w14:val="tx1"/>
        </w14:solidFill>
      </w14:textFill>
    </w:rPr>
  </w:style>
  <w:style w:type="paragraph" w:customStyle="1" w:styleId="48">
    <w:name w:val="zz正文"/>
    <w:basedOn w:val="1"/>
    <w:link w:val="50"/>
    <w:qFormat/>
    <w:uiPriority w:val="0"/>
    <w:pPr>
      <w:ind w:firstLine="200"/>
    </w:pPr>
    <w:rPr>
      <w:color w:val="000000" w:themeColor="text1"/>
      <w:szCs w:val="32"/>
      <w14:textFill>
        <w14:solidFill>
          <w14:schemeClr w14:val="tx1"/>
        </w14:solidFill>
      </w14:textFill>
    </w:rPr>
  </w:style>
  <w:style w:type="character" w:customStyle="1" w:styleId="49">
    <w:name w:val="zz标题1 Char"/>
    <w:basedOn w:val="19"/>
    <w:link w:val="46"/>
    <w:qFormat/>
    <w:uiPriority w:val="0"/>
    <w:rPr>
      <w:rFonts w:ascii="黑体" w:hAnsi="黑体" w:eastAsia="黑体" w:cstheme="minorBidi"/>
      <w:color w:val="000000" w:themeColor="text1"/>
      <w:kern w:val="2"/>
      <w:sz w:val="32"/>
      <w:szCs w:val="32"/>
      <w14:textFill>
        <w14:solidFill>
          <w14:schemeClr w14:val="tx1"/>
        </w14:solidFill>
      </w14:textFill>
    </w:rPr>
  </w:style>
  <w:style w:type="character" w:customStyle="1" w:styleId="50">
    <w:name w:val="zz正文 Char"/>
    <w:basedOn w:val="19"/>
    <w:link w:val="48"/>
    <w:qFormat/>
    <w:uiPriority w:val="0"/>
    <w:rPr>
      <w:rFonts w:ascii="仿宋_GB2312" w:hAnsi="仿宋_GB2312" w:eastAsia="仿宋_GB2312" w:cstheme="minorBidi"/>
      <w:color w:val="000000" w:themeColor="text1"/>
      <w:kern w:val="2"/>
      <w:sz w:val="32"/>
      <w:szCs w:val="32"/>
      <w14:textFill>
        <w14:solidFill>
          <w14:schemeClr w14:val="tx1"/>
        </w14:solidFill>
      </w14:textFill>
    </w:rPr>
  </w:style>
  <w:style w:type="paragraph" w:customStyle="1" w:styleId="51">
    <w:name w:val="zz标题3"/>
    <w:basedOn w:val="48"/>
    <w:link w:val="53"/>
    <w:qFormat/>
    <w:uiPriority w:val="0"/>
    <w:pPr>
      <w:outlineLvl w:val="2"/>
      <w:pPrChange w:id="0" w:author="blz" w:date="2025-12-22T09:42:00Z">
        <w:pPr>
          <w:widowControl w:val="0"/>
          <w:spacing w:line="560" w:lineRule="exact"/>
          <w:ind w:firstLine="640" w:firstLineChars="200"/>
          <w:jc w:val="both"/>
          <w:outlineLvl w:val="2"/>
        </w:pPr>
      </w:pPrChange>
    </w:pPr>
    <w:rPr>
      <w:rFonts w:eastAsia="黑体"/>
      <w:b/>
      <w:i/>
      <w:u w:val="single"/>
      <w:rPrChange w:id="1" w:author="blz" w:date="2025-12-22T09:42:00Z">
        <w:rPr>
          <w:rFonts w:ascii="仿宋_GB2312" w:eastAsia="黑体" w:hAnsiTheme="minorHAnsi" w:cstheme="minorBidi"/>
          <w:color w:val="000000" w:themeColor="text1"/>
          <w:kern w:val="2"/>
          <w:sz w:val="32"/>
          <w:szCs w:val="32"/>
          <w:lang w:val="en-US" w:eastAsia="zh-CN" w:bidi="ar-SA"/>
          <w14:textFill>
            <w14:solidFill>
              <w14:schemeClr w14:val="tx1"/>
            </w14:solidFill>
          </w14:textFill>
        </w:rPr>
      </w:rPrChange>
    </w:rPr>
  </w:style>
  <w:style w:type="paragraph" w:customStyle="1" w:styleId="52">
    <w:name w:val="zz标题31"/>
    <w:basedOn w:val="51"/>
    <w:link w:val="55"/>
    <w:qFormat/>
    <w:uiPriority w:val="0"/>
    <w:pPr>
      <w:ind w:firstLine="643"/>
    </w:pPr>
    <w:rPr>
      <w:shd w:val="pct10" w:color="auto" w:fill="FFFFFF"/>
    </w:rPr>
  </w:style>
  <w:style w:type="character" w:customStyle="1" w:styleId="53">
    <w:name w:val="zz标题3 Char"/>
    <w:basedOn w:val="50"/>
    <w:link w:val="51"/>
    <w:qFormat/>
    <w:uiPriority w:val="0"/>
    <w:rPr>
      <w:rFonts w:ascii="仿宋_GB2312" w:eastAsia="黑体" w:hAnsiTheme="minorHAnsi" w:cstheme="minorBidi"/>
      <w:b/>
      <w:i/>
      <w:color w:val="000000" w:themeColor="text1"/>
      <w:kern w:val="2"/>
      <w:sz w:val="32"/>
      <w:szCs w:val="32"/>
      <w:u w:val="single"/>
      <w14:textFill>
        <w14:solidFill>
          <w14:schemeClr w14:val="tx1"/>
        </w14:solidFill>
      </w14:textFill>
    </w:rPr>
  </w:style>
  <w:style w:type="paragraph" w:customStyle="1" w:styleId="54">
    <w:name w:val="zz正文标注"/>
    <w:basedOn w:val="48"/>
    <w:link w:val="56"/>
    <w:qFormat/>
    <w:uiPriority w:val="0"/>
    <w:pPr>
      <w:spacing w:line="240" w:lineRule="auto"/>
      <w:ind w:firstLine="440"/>
    </w:pPr>
    <w:rPr>
      <w:sz w:val="22"/>
      <w:shd w:val="pct10" w:color="auto" w:fill="FFFFFF"/>
    </w:rPr>
  </w:style>
  <w:style w:type="character" w:customStyle="1" w:styleId="55">
    <w:name w:val="zz标题31 Char"/>
    <w:basedOn w:val="53"/>
    <w:link w:val="52"/>
    <w:qFormat/>
    <w:uiPriority w:val="0"/>
    <w:rPr>
      <w:rFonts w:ascii="仿宋_GB2312" w:eastAsia="黑体" w:hAnsiTheme="minorHAnsi" w:cstheme="minorBidi"/>
      <w:color w:val="000000" w:themeColor="text1"/>
      <w:kern w:val="2"/>
      <w:sz w:val="32"/>
      <w:szCs w:val="32"/>
      <w:u w:val="single"/>
      <w14:textFill>
        <w14:solidFill>
          <w14:schemeClr w14:val="tx1"/>
        </w14:solidFill>
      </w14:textFill>
    </w:rPr>
  </w:style>
  <w:style w:type="character" w:customStyle="1" w:styleId="56">
    <w:name w:val="zz正文标注 Char"/>
    <w:basedOn w:val="50"/>
    <w:link w:val="54"/>
    <w:qFormat/>
    <w:uiPriority w:val="0"/>
    <w:rPr>
      <w:rFonts w:ascii="仿宋_GB2312" w:eastAsia="仿宋_GB2312" w:hAnsiTheme="minorHAnsi" w:cstheme="minorBidi"/>
      <w:color w:val="000000" w:themeColor="text1"/>
      <w:kern w:val="2"/>
      <w:sz w:val="22"/>
      <w:szCs w:val="32"/>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d3aee811-eb41-4894-b304-62ee4a628491</errorID>
      <errorWord>法律、法规</errorWord>
      <group>L1_Word</group>
      <groupName>字词问题</groupName>
      <ability>L2_Typo</ability>
      <abilityName>字词错误</abilityName>
      <candidateList>
        <item>法律法规</item>
      </candidateList>
      <explain/>
      <paraID>67CAEE6B</paraID>
      <start>85</start>
      <end>90</end>
      <status>ignored</status>
      <modifiedWord/>
      <trackRevisions>false</trackRevisions>
    </reviewItem>
    <reviewItem>
      <errorID>e59fd0f2-efa0-4c2c-a4fe-23633859a3ad</errorID>
      <errorWord>城市更新的行动</errorWord>
      <group>L1_Political</group>
      <groupName>政治性问题</groupName>
      <ability>L2_Keyword</ability>
      <abilityName>固定表述</abilityName>
      <candidateList>
        <item>城市更新行动</item>
      </candidateList>
      <explain>词汇“城市更新行动”在特定场景下为固定表述形式，请确认此处的“城市更新的行动”是否存在不当。</explain>
      <paraID>490DA253</paraID>
      <start>12</start>
      <end>19</end>
      <status>ignored</status>
      <modifiedWord/>
      <trackRevisions>false</trackRevisions>
    </reviewItem>
    <reviewItem>
      <errorID>604d285c-bb8b-4a8d-85b1-df976387bb9c</errorID>
      <errorWord>法律、法规</errorWord>
      <group>L1_Word</group>
      <groupName>字词问题</groupName>
      <ability>L2_Typo</ability>
      <abilityName>字词错误</abilityName>
      <candidateList>
        <item>法律法规</item>
      </candidateList>
      <explain/>
      <paraID>5F84998D</paraID>
      <start>38</start>
      <end>43</end>
      <status>ignored</status>
      <modifiedWord/>
      <trackRevisions>false</trackRevisions>
    </reviewItem>
    <reviewItem>
      <errorID>055754de-d739-4398-8e13-e33c587cb388</errorID>
      <errorWord>(</errorWord>
      <group>L1_Format</group>
      <groupName>格式问题</groupName>
      <ability>L2_HalfPunc</ability>
      <abilityName>全半角检查</abilityName>
      <candidateList>
        <item>（</item>
      </candidateList>
      <explain>文本全半角错误。</explain>
      <paraID>34AD3078</paraID>
      <start>14</start>
      <end>15</end>
      <status>modified</status>
      <modifiedWord>（</modifiedWord>
      <trackRevisions>false</trackRevisions>
    </reviewItem>
    <reviewItem>
      <errorID>1f9e8496-8086-4153-b01d-9e1598496d0c</errorID>
      <errorWord>)</errorWord>
      <group>L1_Format</group>
      <groupName>格式问题</groupName>
      <ability>L2_HalfPunc</ability>
      <abilityName>全半角检查</abilityName>
      <candidateList>
        <item>）</item>
      </candidateList>
      <explain>文本全半角错误。</explain>
      <paraID>34AD3078</paraID>
      <start>16</start>
      <end>17</end>
      <status>modified</status>
      <modifiedWord>）</modifiedWord>
      <trackRevisions>false</trackRevisions>
    </reviewItem>
    <reviewItem>
      <errorID>c7ff2da6-8287-4242-9e68-549f74697085</errorID>
      <errorWord>(</errorWord>
      <group>L1_Format</group>
      <groupName>格式问题</groupName>
      <ability>L2_HalfPunc</ability>
      <abilityName>全半角检查</abilityName>
      <candidateList>
        <item>（</item>
      </candidateList>
      <explain>文本全半角错误。</explain>
      <paraID>  7E190C</paraID>
      <start>3</start>
      <end>4</end>
      <status>modified</status>
      <modifiedWord>（</modifiedWord>
      <trackRevisions>false</trackRevisions>
    </reviewItem>
    <reviewItem>
      <errorID>34347d3c-4408-46e2-a755-0cd7325cc6a2</errorID>
      <errorWord>)</errorWord>
      <group>L1_Format</group>
      <groupName>格式问题</groupName>
      <ability>L2_HalfPunc</ability>
      <abilityName>全半角检查</abilityName>
      <candidateList>
        <item>）</item>
      </candidateList>
      <explain>文本全半角错误。</explain>
      <paraID>  7E190C</paraID>
      <start>5</start>
      <end>6</end>
      <status>modified</status>
      <modifiedWord>）</modifiedWord>
      <trackRevisions>false</trackRevisions>
    </reviewItem>
    <reviewItem>
      <errorID>fabe107a-1163-4585-98af-ed9d508993a0</errorID>
      <errorWord>法律、法规</errorWord>
      <group>L1_Word</group>
      <groupName>字词问题</groupName>
      <ability>L2_Typo</ability>
      <abilityName>字词错误</abilityName>
      <candidateList>
        <item>法律法规</item>
      </candidateList>
      <explain/>
      <paraID>45622054</paraID>
      <start>22</start>
      <end>27</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df68b-a35a-4d44-a741-705a953140c4}">
  <ds:schemaRefs/>
</ds:datastoreItem>
</file>

<file path=customXml/itemProps3.xml><?xml version="1.0" encoding="utf-8"?>
<ds:datastoreItem xmlns:ds="http://schemas.openxmlformats.org/officeDocument/2006/customXml" ds:itemID="{15FC26FA-53A1-422C-82E6-5B552FCCB575}">
  <ds:schemaRefs/>
</ds:datastoreItem>
</file>

<file path=docProps/app.xml><?xml version="1.0" encoding="utf-8"?>
<Properties xmlns="http://schemas.openxmlformats.org/officeDocument/2006/extended-properties" xmlns:vt="http://schemas.openxmlformats.org/officeDocument/2006/docPropsVTypes">
  <Template>Normal</Template>
  <Pages>14</Pages>
  <Words>6751</Words>
  <Characters>6751</Characters>
  <Lines>50</Lines>
  <Paragraphs>14</Paragraphs>
  <TotalTime>34</TotalTime>
  <ScaleCrop>false</ScaleCrop>
  <LinksUpToDate>false</LinksUpToDate>
  <CharactersWithSpaces>6767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2025-12-22T04:26:00Z</dcterms:created>
  <dc:creator>Administrator</dc:creator>
  <cp:lastModifiedBy>岳</cp:lastModifiedBy>
  <cp:lastPrinted>2026-03-11T07:24:24Z</cp:lastPrinted>
  <dcterms:modified xsi:type="dcterms:W3CDTF">2026-03-11T08:34:12Z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eyJoZGlkIjoiYzkzZTRjZDEwNmVlYTIzNDM0MTA2NmViY2Q3Zjg0YTMiLCJ1c2VySWQiOiIyMzY1ODE4NTQifQ==</vt:lpwstr>
  </property>
  <property fmtid="{D5CDD505-2E9C-101B-9397-08002B2CF9AE}" pid="3" name="KSOProductBuildVer">
    <vt:lpwstr>2052-12.1.0.25225</vt:lpwstr>
  </property>
  <property fmtid="{D5CDD505-2E9C-101B-9397-08002B2CF9AE}" pid="4" name="ICV">
    <vt:lpwstr>7DEA121E8AE84667BA88A70473CE218A_13</vt:lpwstr>
  </property>
</Properties>
</file>